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863DF">
        <w:rPr>
          <w:rFonts w:ascii="Times New Roman" w:hAnsi="Times New Roman" w:cs="Times New Roman"/>
          <w:b/>
          <w:sz w:val="28"/>
          <w:szCs w:val="28"/>
        </w:rPr>
        <w:t>Пробоподготовка</w:t>
      </w:r>
      <w:proofErr w:type="spellEnd"/>
      <w:r w:rsidRPr="00A863DF">
        <w:rPr>
          <w:rFonts w:ascii="Times New Roman" w:hAnsi="Times New Roman" w:cs="Times New Roman"/>
          <w:b/>
          <w:sz w:val="28"/>
          <w:szCs w:val="28"/>
        </w:rPr>
        <w:t xml:space="preserve"> металлургических образцов. Основные направления развития аналитического контроля</w:t>
      </w:r>
    </w:p>
    <w:p w:rsid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Одной из наиболее трудных, длительных, ответственных стадий и стадий, вносящих наибольший вклад в общую погрешность, анализа является стадия предварительной химической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пробоподготовки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(ПХПП). Если длительность инструментального измерения и обработки результатов имеет порядок нескольких минут и даже секунд, то продолжительность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пробоподготовки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– порядок часов и реже – минут.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Стадия ПХПП постоянно совершенствуется как в выборе новых реагентов для разложения, так и наложении внешних физических полей для интенсификации характерных для нее процессов. Основные приемы интенсификации процессов вскрытия проб являются  применение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высокоагрессивных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агентов и сред, работа при повышенных температурах и давлениях, воздействие ультразвука, магнитного, электромагнитного и электрического полей (в том числе СВЧ, электронами, УФ и вакуумным УФ излучение,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γ-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квантами, рентгеновскими лучами, искрового или дугового разряда, лазерного излучения, плазменной деструкции и др.).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Цель разложения пробы материала для последующего анализа является переведение ее  в состояние, обеспечивающее количественное определение  соответствующих компонентов.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Вскрытие (разложение) проб анализируемого материала основано на разрушении его структуры в результате реакций взаимодействия входящих в него компонентов с введенными реагентами.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Выбор способа разложения определяется химическим, гранулометрическим составом материала,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химическими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свойства определяемого элемента, составом реакционной смеси, а также целью анализа.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К анализируемым растворам, полученным после разложения, предъявляют ряд требований, основные из которых: </w:t>
      </w:r>
    </w:p>
    <w:p w:rsidR="00A863DF" w:rsidRPr="00A863DF" w:rsidRDefault="00A863DF" w:rsidP="00A863DF">
      <w:pPr>
        <w:numPr>
          <w:ilvl w:val="0"/>
          <w:numId w:val="2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полное вскрытие без потерь определяемых элементов;</w:t>
      </w:r>
    </w:p>
    <w:p w:rsidR="00A863DF" w:rsidRPr="00A863DF" w:rsidRDefault="00A863DF" w:rsidP="00A863DF">
      <w:pPr>
        <w:numPr>
          <w:ilvl w:val="0"/>
          <w:numId w:val="2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ограниченный солевой состав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В методах ААС и АЭС-ИСП, МС-ИСП концентрация солей в растворе пробы не должна превышать 5-10 мг/мл, а концентрация соляной, серной и азотной кислот – 1 М в связи с коррозией аппаратуры при высокой кислотности.</w:t>
      </w:r>
    </w:p>
    <w:p w:rsidR="00A863DF" w:rsidRPr="00A863DF" w:rsidRDefault="00A863DF" w:rsidP="00A863DF">
      <w:pPr>
        <w:numPr>
          <w:ilvl w:val="0"/>
          <w:numId w:val="2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использование неагрессивных сред.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Существуют различные способы разложения проб: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открытой системе </w:t>
      </w:r>
    </w:p>
    <w:p w:rsidR="00A863DF" w:rsidRPr="00A863DF" w:rsidRDefault="00A863DF" w:rsidP="00A863DF">
      <w:pPr>
        <w:numPr>
          <w:ilvl w:val="1"/>
          <w:numId w:val="2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«Мокрый» способ – разложение растворами кислот, солей и щелочей;</w:t>
      </w:r>
    </w:p>
    <w:p w:rsidR="00A863DF" w:rsidRPr="00A863DF" w:rsidRDefault="00A863DF" w:rsidP="00A863DF">
      <w:pPr>
        <w:numPr>
          <w:ilvl w:val="1"/>
          <w:numId w:val="2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«Сухой» способ – разложение при помощи сплавления или спекания с различными плавнями;</w:t>
      </w:r>
    </w:p>
    <w:p w:rsidR="00A863DF" w:rsidRPr="00A863DF" w:rsidRDefault="00A863DF" w:rsidP="00A863DF">
      <w:pPr>
        <w:numPr>
          <w:ilvl w:val="1"/>
          <w:numId w:val="2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Специальные методы</w:t>
      </w:r>
    </w:p>
    <w:p w:rsidR="00A863DF" w:rsidRPr="00A863DF" w:rsidRDefault="00A863DF" w:rsidP="00A863DF">
      <w:pPr>
        <w:numPr>
          <w:ilvl w:val="2"/>
          <w:numId w:val="2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Термическое разложение;</w:t>
      </w:r>
    </w:p>
    <w:p w:rsidR="00A863DF" w:rsidRPr="00A863DF" w:rsidRDefault="00A863DF" w:rsidP="00A863DF">
      <w:pPr>
        <w:numPr>
          <w:ilvl w:val="2"/>
          <w:numId w:val="2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Пирогидролиз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и пиролиз;</w:t>
      </w:r>
    </w:p>
    <w:p w:rsidR="00A863DF" w:rsidRPr="00A863DF" w:rsidRDefault="00A863DF" w:rsidP="00A863DF">
      <w:pPr>
        <w:numPr>
          <w:ilvl w:val="2"/>
          <w:numId w:val="2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>Разложение с использованием ионитов;</w:t>
      </w:r>
    </w:p>
    <w:p w:rsidR="00A863DF" w:rsidRPr="00A863DF" w:rsidRDefault="00A863DF" w:rsidP="00A863DF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 В закрытой системе –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автоклавная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и микроволновая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пробоподготовка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;</w:t>
      </w:r>
    </w:p>
    <w:p w:rsidR="00A863DF" w:rsidRPr="00A863DF" w:rsidRDefault="00A863DF" w:rsidP="00A863DF">
      <w:pPr>
        <w:numPr>
          <w:ilvl w:val="0"/>
          <w:numId w:val="2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Минерализация пробы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3.1 «Сухие» способы;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3.2 «Мокрые» способы.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Предварительные операции:</w:t>
      </w:r>
    </w:p>
    <w:p w:rsidR="00A863DF" w:rsidRPr="00A863DF" w:rsidRDefault="00A863DF" w:rsidP="00A863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1) </w:t>
      </w:r>
      <w:r w:rsidRPr="00A863DF">
        <w:rPr>
          <w:rFonts w:ascii="Times New Roman" w:hAnsi="Times New Roman" w:cs="Times New Roman"/>
          <w:i/>
          <w:sz w:val="28"/>
          <w:szCs w:val="28"/>
        </w:rPr>
        <w:t>Получение воздушно-сухой пробы</w:t>
      </w:r>
      <w:r w:rsidRPr="00A863DF">
        <w:rPr>
          <w:rFonts w:ascii="Times New Roman" w:hAnsi="Times New Roman" w:cs="Times New Roman"/>
          <w:sz w:val="28"/>
          <w:szCs w:val="28"/>
        </w:rPr>
        <w:t xml:space="preserve"> анализируемого образца. Для этого пробу высушивают для удаления гигроскопической влаги в сушильном шкафу при температуре 105-120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, помещая тонко истертый высушиваемый материал в бюкс.</w:t>
      </w:r>
    </w:p>
    <w:p w:rsidR="00A863DF" w:rsidRPr="00A863DF" w:rsidRDefault="00A863DF" w:rsidP="00A863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2) </w:t>
      </w:r>
      <w:r w:rsidRPr="00A863DF">
        <w:rPr>
          <w:rFonts w:ascii="Times New Roman" w:hAnsi="Times New Roman" w:cs="Times New Roman"/>
          <w:i/>
          <w:sz w:val="28"/>
          <w:szCs w:val="28"/>
        </w:rPr>
        <w:t>Удаление органических примесей</w:t>
      </w:r>
      <w:r w:rsidRPr="00A863DF">
        <w:rPr>
          <w:rFonts w:ascii="Times New Roman" w:hAnsi="Times New Roman" w:cs="Times New Roman"/>
          <w:sz w:val="28"/>
          <w:szCs w:val="28"/>
        </w:rPr>
        <w:t>, которые при растворении навески руды образуют различные углеводороды или нерастворимый серовато-черный остаток, что вредно влияет на результаты определения некоторых компонентов руды при анализе. Поэтому пробу руды перед вскрытием подвергают обжигу в фарфоровом тигле в течение 15-20 мин в муфельной печи.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863DF">
        <w:rPr>
          <w:rFonts w:ascii="Times New Roman" w:hAnsi="Times New Roman" w:cs="Times New Roman"/>
          <w:b/>
          <w:i/>
          <w:sz w:val="28"/>
          <w:szCs w:val="28"/>
        </w:rPr>
        <w:t>«Мокрые» способы разложения в открытой системе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Обработка минеральными кислотами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Реагенты для «мокрого» разложения анализируемых проб:</w:t>
      </w:r>
    </w:p>
    <w:p w:rsidR="00A863DF" w:rsidRPr="00A863DF" w:rsidRDefault="00A863DF" w:rsidP="00A863DF">
      <w:pPr>
        <w:numPr>
          <w:ilvl w:val="0"/>
          <w:numId w:val="2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Индивидуальные минеральные кислоты: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HBr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HI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HF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;</w:t>
      </w:r>
    </w:p>
    <w:p w:rsidR="00A863DF" w:rsidRPr="00A863DF" w:rsidRDefault="00A863DF" w:rsidP="00A863DF">
      <w:pPr>
        <w:numPr>
          <w:ilvl w:val="0"/>
          <w:numId w:val="2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sz w:val="28"/>
          <w:szCs w:val="28"/>
        </w:rPr>
        <w:t>Индивидуальная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органические кислоты: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COOH</w:t>
      </w:r>
      <w:r w:rsidRPr="00A863DF">
        <w:rPr>
          <w:rFonts w:ascii="Times New Roman" w:hAnsi="Times New Roman" w:cs="Times New Roman"/>
          <w:sz w:val="28"/>
          <w:szCs w:val="28"/>
        </w:rPr>
        <w:t>, щавелевая, винная, реже трихлоруксусная, лимонная, муравьиная и др. кислоты;</w:t>
      </w:r>
    </w:p>
    <w:p w:rsidR="00A863DF" w:rsidRPr="00A863DF" w:rsidRDefault="00A863DF" w:rsidP="00A863DF">
      <w:pPr>
        <w:numPr>
          <w:ilvl w:val="0"/>
          <w:numId w:val="2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Смеси кислот: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)+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HF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HBr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+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+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SiF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A863DF">
        <w:rPr>
          <w:rFonts w:ascii="Times New Roman" w:hAnsi="Times New Roman" w:cs="Times New Roman"/>
          <w:sz w:val="28"/>
          <w:szCs w:val="28"/>
        </w:rPr>
        <w:t>,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:конц.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(1:3) – царская водка;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конц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.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:конц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(3:1) – «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лефортова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», или обратная царская водка,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+различные органические кислоты и др.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Выбор реагента обусловливается целью анализа (определением матричных элементов или примесного элемента); способом измерения определяемого элемента.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При выборе кислоты учитывают ее физические и химические свойства, которые могут влиять на конечный ход анализа и служить источником систематических помех. Так, при использовании методов ААС и АЭС-ИСП важны такие параметры кислоты как вязкость, плотность, поверхностное натяжение раствора. По своему действию на аналитический сигнал кислоты располагаются в ряд: 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&lt;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&lt;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&lt;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, где хлорная кислота практически не влияет на величину сигнала, а в присутствии анионов других кислот сигнал уменьшается.</w:t>
      </w:r>
      <w:proofErr w:type="gramEnd"/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>Скорость разложения пробы материала кислотами определяется количествами взаимодействующих веществ и температурой.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Классификация минеральных кислоты, применяемых для разложения проб:</w:t>
      </w:r>
    </w:p>
    <w:p w:rsidR="00A863DF" w:rsidRPr="00A863DF" w:rsidRDefault="00A863DF" w:rsidP="00A863DF">
      <w:pPr>
        <w:numPr>
          <w:ilvl w:val="0"/>
          <w:numId w:val="26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Кислоты, не оказывающие окислительного действия (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разбавленные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Этими кислотами, иногда в присутствии восстановителя, разлагают вещества, способные восстанавливаться. Например, минерал пиролюзит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MnO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 переводят в раствор действием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концентрированной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3DF">
        <w:rPr>
          <w:rFonts w:ascii="Times New Roman" w:hAnsi="Times New Roman" w:cs="Times New Roman"/>
          <w:sz w:val="28"/>
          <w:szCs w:val="28"/>
          <w:lang w:val="en-US"/>
        </w:rPr>
        <w:object w:dxaOrig="387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3.8pt;height:16.8pt" o:ole="">
            <v:imagedata r:id="rId6" o:title=""/>
          </v:shape>
          <o:OLEObject Type="Embed" ProgID="Equation.3" ShapeID="_x0000_i1025" DrawAspect="Content" ObjectID="_1759780147" r:id="rId7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Железные руды растворяют соляной кислотой в присутствии хлорида олова (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863DF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  <w:lang w:val="en-US"/>
        </w:rPr>
        <w:object w:dxaOrig="5000" w:dyaOrig="360">
          <v:shape id="_x0000_i1026" type="#_x0000_t75" style="width:250.2pt;height:18pt" o:ole="">
            <v:imagedata r:id="rId8" o:title=""/>
          </v:shape>
          <o:OLEObject Type="Embed" ProgID="Equation.3" ShapeID="_x0000_i1026" DrawAspect="Content" ObjectID="_1759780148" r:id="rId9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sz w:val="28"/>
          <w:szCs w:val="28"/>
        </w:rPr>
        <w:t>Концентрированная соляная кислота, разбавленные серная и хлорная кислоты – отличные растворители для оксидов многих металлов, а также для металлов, окисляющихся легче водорода.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Последние, являясь сильными восстановителями, окисляются ионами водорода кислоты с выделением свободного водорода. Так, растворяются щелочноземельные металлы,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Be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Sn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Ti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Ce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Th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Cr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A863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63DF" w:rsidRPr="00A863DF" w:rsidRDefault="00A863DF" w:rsidP="00A863DF">
      <w:pPr>
        <w:numPr>
          <w:ilvl w:val="0"/>
          <w:numId w:val="26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sz w:val="28"/>
          <w:szCs w:val="28"/>
        </w:rPr>
        <w:t>Кислоты, действующие как сильные окислители (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конц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горячая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конц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). Этими кислотами разлагают вещества, способные окисляться. К их числу относятся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Ag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Bi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Ga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Ge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Mn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Hg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Pb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Se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Te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Tl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863DF">
        <w:rPr>
          <w:rFonts w:ascii="Times New Roman" w:hAnsi="Times New Roman" w:cs="Times New Roman"/>
          <w:sz w:val="28"/>
          <w:szCs w:val="28"/>
        </w:rPr>
        <w:t xml:space="preserve">. Минералы группы сульфидов, арсенидов, фосфатов и др. разлагаются при действии концентрированной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 (одной или с добавлением брома). Горячая концентрированная азотная кислота растворяет все металлы за исключением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Cr</w:t>
      </w:r>
      <w:r w:rsidRPr="00A863DF">
        <w:rPr>
          <w:rFonts w:ascii="Times New Roman" w:hAnsi="Times New Roman" w:cs="Times New Roman"/>
          <w:sz w:val="28"/>
          <w:szCs w:val="28"/>
        </w:rPr>
        <w:t xml:space="preserve"> (т.к. образуется оксидная пленка на поверхности).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Эффективность действия горячей концентрированной серной кислоты отчасти обусловлена ее высокой температурой кипения (~340 °С).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Большинство металлов и многие сплавы, в частности сплавы олова, сурьмы, свинца,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ферротитан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разлагаются под действием горячей серной кислоты. При добавлении сульфата щелочного металла удается растворить нитриды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Cr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Nb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Ta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Ti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Zr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 присутствии катализатора (сульфат меди, селен).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Концентрированная хлорная кислота при температуре кипения ее азеотропной смеси с водой (~200 °С) – очень энергичный окислитель, разрушающий сплавы железа и нержавеющие стали, не разлагаемые другими минеральными кислотами.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Золото и платина растворяются в царской водке, которая действует и как окислитель, и как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комплексант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(получаются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комплексные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хлорида этих металлов). Вольфрамовые сплавы, Мо,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Nb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Ta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Zr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ферросилиций, ферромолибден растворяются в смеси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HF</w:t>
      </w:r>
      <w:r w:rsidRPr="00A863DF">
        <w:rPr>
          <w:rFonts w:ascii="Times New Roman" w:hAnsi="Times New Roman" w:cs="Times New Roman"/>
          <w:sz w:val="28"/>
          <w:szCs w:val="28"/>
        </w:rPr>
        <w:t xml:space="preserve"> вследствие образования комплексных фторидов. Титановые сплавы разлагаются в таких же условиях, но с добавлением серной кислоты.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Кремнекислота, кремний, горные породы и другие силикаты разлагаются в присутствии плавиковой (фтороводородной) кислоты с образованием очень неустойчивого летучего фторида кремния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SiF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, который улетучивается при нагревании и таким образом может быть отделен. Недостаток разложения с плавиковой кислотой – легкое образование прочных фторидных комплексов металлов.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Обработка органическими кислотами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Органические кислоты применяют при разложении минерального сырья в фазовом анализе. Для растворения минералов (кальцит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CaCO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, флюорит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CaF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, гипс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CaSO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·2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</w:rPr>
        <w:t>, некоторые силикаты) используют уксусную кислоту. Разложение проводят при нагревании.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Значительно реже в качестве реагентов применяют растворы оснований (щелочей) и солей (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KOH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+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·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, (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)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CuSO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HgCl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др.)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концентрированных и разбавленных растворах щелочей растворимы лишь некоторые материалы, содержащие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Ga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Ge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A863DF">
        <w:rPr>
          <w:rFonts w:ascii="Times New Roman" w:hAnsi="Times New Roman" w:cs="Times New Roman"/>
          <w:sz w:val="28"/>
          <w:szCs w:val="28"/>
        </w:rPr>
        <w:t xml:space="preserve"> с образованием соответствующих щелочных металлов – алюминатов,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галлатов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вольфраматов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Посуда для «мокрого» разложения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Растворение в кислотах и их смесях проводят в посуде из стекла, кварца, фарфора (в отсутствие фторида водорода) и фторопласта (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тефлона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). Сосуды из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тефлона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(полимер тетрафторэтилена) можно использовать при температурах от -296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до 250 °С. Для растворения во фтористоводородной кислоте используют посуду из платины,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тефлона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стеклоуглерода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. Хранят фторидные растворы в сосуде из пропилена. Выпаривание растворов досуха проводят в фарфоровых чашках на песчаных банях или электрических плитках, дающих невысокую температуру.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Достоинства кислотного растворения: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экспрессность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; минимальное количество посторонних ионов, не вносящих дополнительное загрязнение в пробу; возможность быстро подобрать солевой состав раствора.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Недостатки: возможные потери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аналита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вследствие летучести; не всегда полное разложение.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863DF">
        <w:rPr>
          <w:rFonts w:ascii="Times New Roman" w:hAnsi="Times New Roman" w:cs="Times New Roman"/>
          <w:b/>
          <w:i/>
          <w:sz w:val="28"/>
          <w:szCs w:val="28"/>
        </w:rPr>
        <w:t>«Сухие» способы разложения в открытой системе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 xml:space="preserve">Сплавление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В случаях, когда кислотное растворение не обеспечивает полноту вскрытия материала, применяют сплавление образца или нерастворимого после кислотного разложения остатка с различными плавнями.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Полученный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плав выщелачивают и в полученном растворе находят ионы, не образующие в щелочном растворе малорастворимых осадков.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Сплавление позволяет более глубоко и энергично воздействовать на структуру анализируемого материала и полностью перевести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аналит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 раствор, отделив его от сопутствующих элементов. Большая эффективность разложения сплавлением по сравнению с разложением «мокрым» путем объясняется использованием при сплавлении более высоких температур, при которых гетерогенные реакции происходят быстрее. Скорость разложения </w:t>
      </w: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увеличивается при измельчении сплавляемого материала. Сплавление можно проводить на горелках и в муфельных печах.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Выбор плавня зависит от цели анализа, химического состава исследуемого материала, физических и химических свойств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аналита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, свой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ств пл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авня. Для сплавления нельзя применять реагенты, при действии которых может улетучиться определяемый компонент, а также такие, которые могут помешать дальнейшему анализу.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Применяют следующие виды плавней: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 - щелочные плавни: карбонаты, бораты, гидроксиды щелочных металлов;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- кислотные (кислые) плавни: бисульфаты,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пиросульфаты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бифториды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щелочных металлов.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При выборе плавня руководствуются следующим правилом: вещества, имеющие кислотные свойства, следует сплавлять с основными (щелочными) плавнями, а имеющие основные свойства – с кислыми плавнями; для разложения веществ, являющихся окислителями, обработку ведут в восстановительных условиях, а для веществ, являющихся восстановителями – в окислительных условиях.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Количество плавня зависит от его природы и может быть от пят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до сорокакратным по отношению к навеске пробы. Температура сплавления варьируется от 400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до 1200 °С, продолжительность сплавления может составлять от нескольких минут до нескольких часов (2-120 мин).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Посуда для сплавления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Выбор материала посуды для сплавления зависит от состава и свой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ств пл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авня и цели анализа.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Платиновые тигли разъедаются при сплавлении с карбонатом натрия и калия, бисульфатом и нитратом.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Для сплавления с едкими щелочами и нитратами удобны серебряные тигли, для сплавления с едкими щелочами и пероксидом – никелевые. Если не требуется определять железо, то щелочное сплавление проводят в более доступных железных тиглях.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Сплавление со смесью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тетрабората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лития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Li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A863DF">
        <w:rPr>
          <w:rFonts w:ascii="Times New Roman" w:hAnsi="Times New Roman" w:cs="Times New Roman"/>
          <w:sz w:val="28"/>
          <w:szCs w:val="28"/>
        </w:rPr>
        <w:t xml:space="preserve"> с  метаборатом лития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LiBO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 успешно проводится в тиглях из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стеклоуглерода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Недостатки сплавления: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1) избыточное количество плавня по сравнению с массой пробы, что ведет к высокому солевому составу раствора, подаваемого на анализ.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2) значительная коррозия применяемых тиглей и частичный обмен элементами между плавом и материалом тигля.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sz w:val="28"/>
          <w:szCs w:val="28"/>
        </w:rPr>
        <w:t>В сочетании РФА разложение сплавлением является одним из наиболее распространенных и удобных, т.к. позволяет полученный однородный плав (в виде «стекла» или приготовленный из него однородной таблетки) использовать непосредственно в качестве излучателя.</w:t>
      </w:r>
      <w:proofErr w:type="gramEnd"/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 xml:space="preserve">Спекание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Часто сплавление заменяют более простым спеканием со щелочными смесями.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Наиболее распространенные смеси для спекания: пероксид натрия, </w:t>
      </w: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безводный карбонат натрия в смеси с оксидами металлов (цинка, марганца, железа, кальция, магния), щавелевая кислота, нитрат калия, бура, карбонат кальция, хлорид аммония и др.). 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5"/>
        <w:gridCol w:w="959"/>
        <w:gridCol w:w="1377"/>
        <w:gridCol w:w="1069"/>
        <w:gridCol w:w="655"/>
        <w:gridCol w:w="1250"/>
        <w:gridCol w:w="1042"/>
        <w:gridCol w:w="1177"/>
        <w:gridCol w:w="1080"/>
      </w:tblGrid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Плавень </w:t>
            </w:r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Количество плавня</w:t>
            </w: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Применение 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Температура, °</w:t>
            </w: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Время, </w:t>
            </w: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Выщелачивание </w:t>
            </w:r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Материал тигля </w:t>
            </w: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Достоинства </w:t>
            </w: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Недостатки </w:t>
            </w:r>
          </w:p>
        </w:tc>
      </w:tr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Пероксид натрия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2-8 кратное </w:t>
            </w: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Разложение большой навески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480±20</w:t>
            </w:r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В воде или минеральных условиях</w:t>
            </w:r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Платиновые и никелевые </w:t>
            </w: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Высокая эффективность</w:t>
            </w: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Действует на материал тигля, особенно при высоких температурах</w:t>
            </w:r>
          </w:p>
        </w:tc>
      </w:tr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Карбонат натрия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2-кратное</w:t>
            </w: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Быстрое разложение железных и марганцевых руд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Смачивают небольшим количеством воды и растворяют в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конц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HCl</w:t>
            </w:r>
            <w:proofErr w:type="spellEnd"/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Платиновые</w:t>
            </w:r>
            <w:proofErr w:type="gram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, фарфоровые (при добавлении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Большой избыток щелочных солей</w:t>
            </w:r>
          </w:p>
        </w:tc>
      </w:tr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MgO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– смесь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Эшке</w:t>
            </w:r>
            <w:proofErr w:type="spellEnd"/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10-кратное</w:t>
            </w: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серы в сульфидах,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полисульфидах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сульфосолях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. Легколетучие элементы (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Ge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) переходя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 в натриевые или магниевые  соединения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800-850</w:t>
            </w:r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1,5-2</w:t>
            </w:r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Разб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(1:1)</w:t>
            </w:r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Рыхлый продукт</w:t>
            </w: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Na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+ 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MgO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смесь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Эшке</w:t>
            </w:r>
            <w:proofErr w:type="spellEnd"/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Разложение огнеупорных материалов в производстве металлургической керамики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MgO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+селитра (2:3:1)</w:t>
            </w:r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Определение железа в пиритных огарках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MgO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KClO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:1)</w:t>
            </w:r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Определение серы в железных рудах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800-900</w:t>
            </w:r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0,3-0,5</w:t>
            </w:r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Фарфоровый и корундовый тигель</w:t>
            </w: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Na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ZnO</w:t>
            </w:r>
            <w:proofErr w:type="spellEnd"/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5-10-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кратное</w:t>
            </w: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Разложение сульфидов, силикатов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800-900</w:t>
            </w:r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63DF" w:rsidRPr="00A863DF" w:rsidTr="00A863DF">
        <w:tc>
          <w:tcPr>
            <w:tcW w:w="106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CaCO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– метод Смита</w:t>
            </w:r>
          </w:p>
        </w:tc>
        <w:tc>
          <w:tcPr>
            <w:tcW w:w="110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щелочных металлов в железных рудах и нерастворимых 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сульфидах</w:t>
            </w:r>
          </w:p>
        </w:tc>
        <w:tc>
          <w:tcPr>
            <w:tcW w:w="1233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9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2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Платиновые и никелевые тигли</w:t>
            </w:r>
          </w:p>
        </w:tc>
        <w:tc>
          <w:tcPr>
            <w:tcW w:w="1361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Полнота разложения зависит от выбранных условий реакции: количества реагентов, степени измельчения анализируемого материала и реагента, тщательности их перемешивания, продолжительности процесса спекания и температуры нагрева (500-1500 °С).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Разложение при нагревании с солями аммония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Эти методы занимают промежуточное положение между «мокрыми» и «сухими» методами, поскольку в процессе разложения выделяется вода, принимающая участие в реакции, и используются для разложения руд и минералов преимущественно в полевых условиях. Для этого применяют как отдельные соли аммония (фторид, бромид, хлорид и иодид), так и их смеси (хлоридно-нитратную, фторидно-нитратную,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бромидно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-нитратную,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иодидно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-нитратную). Наибольшее значение имеют хлорид и нитрат аммония, а из смесей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—х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лоридно-нитратная. При разложении достигается такой же эффект, как если бы обработку проводили соответствующими горячими концентрированными кислотами.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4095"/>
        <w:gridCol w:w="1242"/>
        <w:gridCol w:w="730"/>
        <w:gridCol w:w="1667"/>
      </w:tblGrid>
      <w:tr w:rsidR="00A863DF" w:rsidRPr="00A863DF" w:rsidTr="00A863DF">
        <w:tc>
          <w:tcPr>
            <w:tcW w:w="1476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Реагент </w:t>
            </w:r>
          </w:p>
        </w:tc>
        <w:tc>
          <w:tcPr>
            <w:tcW w:w="6145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Химизм процесса</w:t>
            </w:r>
          </w:p>
        </w:tc>
        <w:tc>
          <w:tcPr>
            <w:tcW w:w="1260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n-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кратный избыток реагента</w:t>
            </w:r>
          </w:p>
        </w:tc>
        <w:tc>
          <w:tcPr>
            <w:tcW w:w="583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Т, °С</w:t>
            </w:r>
          </w:p>
        </w:tc>
        <w:tc>
          <w:tcPr>
            <w:tcW w:w="1276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Посуда для разложения</w:t>
            </w:r>
          </w:p>
        </w:tc>
      </w:tr>
      <w:tr w:rsidR="00A863DF" w:rsidRPr="00A863DF" w:rsidTr="00A863DF">
        <w:tc>
          <w:tcPr>
            <w:tcW w:w="1476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</w:p>
        </w:tc>
        <w:tc>
          <w:tcPr>
            <w:tcW w:w="6145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На примере разложения гематита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HCl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+6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HCl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=2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FeCl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+3H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</w:tc>
        <w:tc>
          <w:tcPr>
            <w:tcW w:w="1260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83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300-320 </w:t>
            </w:r>
          </w:p>
        </w:tc>
        <w:tc>
          <w:tcPr>
            <w:tcW w:w="1276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Стеклянная или фарфоровая</w:t>
            </w:r>
          </w:p>
        </w:tc>
      </w:tr>
      <w:tr w:rsidR="00A863DF" w:rsidRPr="00A863DF" w:rsidTr="00A863DF">
        <w:tc>
          <w:tcPr>
            <w:tcW w:w="1476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6145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=N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O+2H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O=N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+O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Кислород в момент выделения энергично взаимодействует с минералами, металлами, сплавами и др. окисляющимися веществами. Применяется для разложения сульфидов тяжелых металлов (сульфидная сера окисляется в сульфатную серу с образованием сульфата металла)</w:t>
            </w:r>
          </w:p>
        </w:tc>
        <w:tc>
          <w:tcPr>
            <w:tcW w:w="1260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3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160-180</w:t>
            </w:r>
          </w:p>
        </w:tc>
        <w:tc>
          <w:tcPr>
            <w:tcW w:w="1276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Стеклянная</w:t>
            </w:r>
          </w:p>
        </w:tc>
      </w:tr>
      <w:tr w:rsidR="00A863DF" w:rsidRPr="00A863DF" w:rsidTr="00A863DF">
        <w:tc>
          <w:tcPr>
            <w:tcW w:w="1476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Хлоридно-нитратная смесь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+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3 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в различных 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соотношениях (плавящаяся до 300</w:t>
            </w: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°С</w:t>
            </w:r>
            <w:proofErr w:type="gram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и неплавящаяся)</w:t>
            </w:r>
          </w:p>
        </w:tc>
        <w:tc>
          <w:tcPr>
            <w:tcW w:w="6145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Химическое действие плавящейся смеси основано на принципе действия «царской водки»: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HCl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HNO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=2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Образующийся</w:t>
            </w:r>
            <w:proofErr w:type="gram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обладает высокой активностью, окисляя сульфидную серу в сульфатную, разрушая карбонаты с последующим образованием соответствующих хлоридов и т.д. При нагревании происходит диссоциация солей аммония: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Cl=HCl+NH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=N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O+2H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Выделяющийся</w:t>
            </w:r>
            <w:proofErr w:type="gram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хлороводород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образует с водой соляную кислоту, которая и растворяет оксиды: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+6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HCl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=2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FeCl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  <w:proofErr w:type="gram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части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– плавкая твердая царская водка. Недостаток смеси – вспенивание реакционной смеси.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2-3 части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NH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– неплавкая твердая царская водка (время разложения – 2-3 мин)</w:t>
            </w:r>
          </w:p>
        </w:tc>
        <w:tc>
          <w:tcPr>
            <w:tcW w:w="1260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15-20</w:t>
            </w:r>
          </w:p>
        </w:tc>
        <w:tc>
          <w:tcPr>
            <w:tcW w:w="583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Стеклянные сосуды </w:t>
            </w:r>
          </w:p>
        </w:tc>
      </w:tr>
    </w:tbl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863DF">
        <w:rPr>
          <w:rFonts w:ascii="Times New Roman" w:hAnsi="Times New Roman" w:cs="Times New Roman"/>
          <w:b/>
          <w:i/>
          <w:sz w:val="28"/>
          <w:szCs w:val="28"/>
        </w:rPr>
        <w:t>Специальные способы разложения в открытой системе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Термическое разложение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Термическое разложение проводят путем нагревания вещества на воздухе, иногда в инертной, окислительной или восстановительной атмосфере или в присутствии других веществ, способствующих разрушению кристаллической решетки исследуемого материала.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Области применения способа термического разложения: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1) для определения воды в неорганических материалах.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Пробу помещают в кварцевую трубку, нагреваемую в электрической печи.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Через трубку пропускают газ-носитель (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или воздух), который увлекает водяные пары в предварительно взвешенные поглотительные трубки, наполненные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водоотнимающими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веществами (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CaCl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или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Mg</w:t>
      </w:r>
      <w:r w:rsidRPr="00A863D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ClO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)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Для ускорения дегидратации и снижения температуры разложения измельченную пробу минерала или горной породы смешивают со вспомогательным плавнем (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PbO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Pb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PbO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PbCrO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др.), который ускоряет разрушение кристаллической решетки минерала и способствует более полному извлечению воды.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2) для удаления сульфидной серы с образованием сернистого газа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небольшого количества серного ангидрида.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3) для определения органических примесей в минеральном сырье и их удаления. Углерод количественно переводят в диоксид углерода сжиганием в трубке в присутствии катализатора. Образующийся углекислый газ поглощают натронной известью,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аскаритом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хлоридом кальция или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ангидроном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4) для разложения сплавов с высоким содержанием вольфрама (например, сверхтвердые сплавы), в результате чего образуется нерастворимая в кислотах вольфрамовая кислота и оксиды других  хорошо растворимых в кислотах металлов (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Mn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др.).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Иногда разложением проводят в присутствии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галогенирующих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реагентов, обладающих большой эффективностью, в окислительной атмосфере.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Возможно два варианта галогенирования – газообразными реагентами и жидкими и твердыми реагентами.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а) При использовании газообразных реагентов галогенирование ведут в открытых системах, пропуская поток газа над пробой, помещенной в лодочку, находящуюся в нагреваемой трубке из кварца или другого материала.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Достоинства способа разложения в токе газа: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- чистота газа (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следовательно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отсутствие загрязнения извне);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- разложение с одновременным разделением продуктов реакции (за счет удаления легколетучих компонентов и улавливания их подходящими реагентами – метод реакционной газовой экстракции РГЭ).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б) галогенирование с помощью жидких и твердых реагентов осуществляют в открытых и закрытых системах (запаянных ампулах и автоклавах).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Навеску пробы массой до 50 мг и соответствующее количество реагента помещают в ампулу из кварцевого или боросиликатного стекла, ампулу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вакуумируют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, запаивают и помещают в муфельную печь. Продолжительность и температура разложения зависят от природы исследуемого материала.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Достоинства ампульного разложения: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- ускорение процесса при повышенных температурах (&gt;300 °С) и давлениях (&gt;10,1 мПа);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- снижение вероятности загрязнения из окружающей среды;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- уменьшение поправки контрольного опыта за счет применения ограниченной массы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галогенирующего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реагента;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- простота оборудования;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- устойчивость во времени продуктов реакции, т.к. находятся в инертной атмосфере.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В качестве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галогенирующих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реагентов применяют: элементный хлор или его соединения (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тетрахлорид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углерода, хлорида меди, железа, смесь хлорирующих агентов), фториды инертных газов (фториды ксенона), фторорганические соединения,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галогенфториды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(например,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трифторид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брома), элементный бром и другие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бромсодержащие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соединения.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>Таблица – Области применения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7"/>
        <w:gridCol w:w="6887"/>
      </w:tblGrid>
      <w:tr w:rsidR="00A863DF" w:rsidRPr="00A863DF" w:rsidTr="00A863DF">
        <w:tc>
          <w:tcPr>
            <w:tcW w:w="2943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Галогенирующий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реагент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Области применения</w:t>
            </w:r>
          </w:p>
        </w:tc>
      </w:tr>
      <w:tr w:rsidR="00A863DF" w:rsidRPr="00A863DF" w:rsidTr="00A863DF">
        <w:tc>
          <w:tcPr>
            <w:tcW w:w="2943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Элементный хлор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В промышленности для извлечения платины и палладия из отработанных катализаторов и ценных компонентов из вторсырья</w:t>
            </w:r>
          </w:p>
        </w:tc>
      </w:tr>
      <w:tr w:rsidR="00A863DF" w:rsidRPr="00A863DF" w:rsidTr="00A863DF">
        <w:tc>
          <w:tcPr>
            <w:tcW w:w="2943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Тетрахлорид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углерода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Для определения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Sb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Sn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е в металлах, рудах, минералах, оксидах и сульфидах</w:t>
            </w:r>
          </w:p>
        </w:tc>
      </w:tr>
      <w:tr w:rsidR="00A863DF" w:rsidRPr="00A863DF" w:rsidTr="00A863DF">
        <w:tc>
          <w:tcPr>
            <w:tcW w:w="2943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Тетрафторид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хсенона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трифторид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брома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При разложении природных и технических объектов (руды, минералы, концентраты, зола, угли, шламы,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кеки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, возгоны, металлы, сплавы и т.д.)</w:t>
            </w:r>
            <w:proofErr w:type="gramEnd"/>
          </w:p>
        </w:tc>
      </w:tr>
      <w:tr w:rsidR="00A863DF" w:rsidRPr="00A863DF" w:rsidTr="00A863DF">
        <w:tc>
          <w:tcPr>
            <w:tcW w:w="2943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Элементный бром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A863DF" w:rsidRPr="00A863DF" w:rsidRDefault="00A863DF" w:rsidP="00A863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Для разложения высокочистых полупроводников материалов</w:t>
            </w:r>
          </w:p>
        </w:tc>
      </w:tr>
    </w:tbl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A863DF">
        <w:rPr>
          <w:rFonts w:ascii="Times New Roman" w:hAnsi="Times New Roman" w:cs="Times New Roman"/>
          <w:b/>
          <w:i/>
          <w:sz w:val="28"/>
          <w:szCs w:val="28"/>
        </w:rPr>
        <w:t>Пирогидролиз</w:t>
      </w:r>
      <w:proofErr w:type="spellEnd"/>
      <w:r w:rsidRPr="00A863DF">
        <w:rPr>
          <w:rFonts w:ascii="Times New Roman" w:hAnsi="Times New Roman" w:cs="Times New Roman"/>
          <w:b/>
          <w:i/>
          <w:sz w:val="28"/>
          <w:szCs w:val="28"/>
        </w:rPr>
        <w:t xml:space="preserve"> и пиролиз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Эти способы разложения по своему характеру подобны термическому разложению в токе газа.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863DF">
        <w:rPr>
          <w:rFonts w:ascii="Times New Roman" w:hAnsi="Times New Roman" w:cs="Times New Roman"/>
          <w:i/>
          <w:sz w:val="28"/>
          <w:szCs w:val="28"/>
        </w:rPr>
        <w:t>Пирогидролиз</w:t>
      </w:r>
      <w:proofErr w:type="spellEnd"/>
      <w:r w:rsidRPr="00A863D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863DF">
        <w:rPr>
          <w:rFonts w:ascii="Times New Roman" w:hAnsi="Times New Roman" w:cs="Times New Roman"/>
          <w:sz w:val="28"/>
          <w:szCs w:val="28"/>
        </w:rPr>
        <w:t xml:space="preserve">– это метод разложения анализируемых материалов при высоких температурах (1000-1300 °С) в парах воды; он позволяет в одном процессе совместить стадию разложения образца и выделение определяемого компонента в виде летучего соединения.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Пирогидролиз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применяют для выделения фтора, хлора, бора и серы. Для ускорения разложения пробу смешивают с ускорителями (активаторами) реакций –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SiO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 xml:space="preserve">2,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WO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Процесс проводят в реакционной трубке (реакторе) из кварца, никеля или платины в потоке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влажных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воздуха, кислорода или азота. При этом образуются как основные оксиды (нелетучие продукты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пирогидролиза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), так и кислоты (галогеноводородные, серная, фосфорная, кремнефтористая, борная), которые количественно улавливают подходящим способом (обычно конденсацией или абсорбцией) и полученный раствор используют для дальнейшего определения.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Наряду с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пирогидролизом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для определения фтора и хлора термическое разложение проводят в токе инертного газа – пиролиз. Пиролиз обеспечивает более низкие значения пределов определения по сравнению с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пирогидролизом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 связи с исключением из процесса паров воды.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863DF">
        <w:rPr>
          <w:rFonts w:ascii="Times New Roman" w:hAnsi="Times New Roman" w:cs="Times New Roman"/>
          <w:b/>
          <w:i/>
          <w:sz w:val="28"/>
          <w:szCs w:val="28"/>
        </w:rPr>
        <w:t>Разложение с использованием ионитов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Для разложения некоторых малорастворимых природных и синтетических веществ можно применять иониты. Преимущество данного способа – отсутствие загрязнений пробы, низкое содержание солей, разделение катионов и анионов исходного соединения.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Для растворения твердой фазы применяют сильнокислые или высокоосновные ионообменные смолы. При обработке малорастворимого соединения водой образуется его насыщенный раствор, находящийся в равновесии с соответствующей твердой фазой. При удалении из раствора того или иного иона анализируемого соединения нарушенное равновесие будет </w:t>
      </w: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восстанавливаться вследствие растворения и диссоциации других молекул твердого компонента. Этот процесс повторяется до тех пор, пока вещество полностью не растворится.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Например, разложение фосфорита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Ca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sz w:val="28"/>
          <w:szCs w:val="28"/>
        </w:rPr>
        <w:t>(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PO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863DF">
        <w:rPr>
          <w:rFonts w:ascii="Times New Roman" w:hAnsi="Times New Roman" w:cs="Times New Roman"/>
          <w:sz w:val="28"/>
          <w:szCs w:val="28"/>
        </w:rPr>
        <w:t>)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63DF">
        <w:rPr>
          <w:rFonts w:ascii="Times New Roman" w:hAnsi="Times New Roman" w:cs="Times New Roman"/>
          <w:sz w:val="28"/>
          <w:szCs w:val="28"/>
        </w:rPr>
        <w:t xml:space="preserve">. Если в водную суспензию фосфорита внести катионит в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sz w:val="28"/>
          <w:szCs w:val="28"/>
        </w:rPr>
        <w:t xml:space="preserve">-форме и анионит в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ОН-форме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, то при взбалтывании смеси в системе протекают следующие реакции (где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Kt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– катионит,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An</w:t>
      </w:r>
      <w:r w:rsidRPr="00A863DF">
        <w:rPr>
          <w:rFonts w:ascii="Times New Roman" w:hAnsi="Times New Roman" w:cs="Times New Roman"/>
          <w:sz w:val="28"/>
          <w:szCs w:val="28"/>
        </w:rPr>
        <w:t xml:space="preserve"> – анионит):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AE034AB" wp14:editId="66516826">
            <wp:extent cx="3596640" cy="1402080"/>
            <wp:effectExtent l="0" t="0" r="381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Из-за образования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слабодиссоциированного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соединения – воды – ионообменные процессы резко сдвигаются вправо, и для полного растворения навески фосфата кальция требуются относительно небольшие количества ионитов. Для последующего отделения катионита от анионита используют различие в их плотности или в размерах зерен (ситовой анализ). Элюирование катионов и анионов проводится соответствующими растворителями.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863DF">
        <w:rPr>
          <w:rFonts w:ascii="Times New Roman" w:hAnsi="Times New Roman" w:cs="Times New Roman"/>
          <w:b/>
          <w:i/>
          <w:sz w:val="28"/>
          <w:szCs w:val="28"/>
        </w:rPr>
        <w:t>Разложение в закрытой системе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Недостатки способов разложения в открытой системе: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1) высокий солевой фон растворов после спекания и сплавления проб,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2) часто неполное переведение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аналита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 раствор после кислотного разложения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трудновскрываемых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образцов,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3) длительность перечисленных способов разложения в открытой системе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Перечисленные недостатки обусловливают применение внешних физических воздействий для интенсификации процесса вскрытия (акустические и магнитные поля, повышение температуры за счет проведения процесса в закрытой системе и др.).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Разложение с резистивным нагревом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Для разложения применяют аналитические автоклавы целевого назначения (автоклавы с резистивным (термическим) нагревом) – герметично замкнутые химические реакторы, в которых реакции разложения протекают при повышенных давлениях и температурах (150-200°С).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Автоклав – тефлоновая реакционная камера, заключенная в небольшой металлический (стальной) корпус с резьбой. Пробу помещают в камеру, добавляют реагент (обычно смеси кислот, часто в присутствии окислителей), закрывают камеру тефлоновой крышкой, герметизируют в металлическом корпусе, помещают в электронагреватель и выдерживают в выбранном температурном режиме. По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охлаждении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до комнатной температуры автоклав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разгерметизируют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и полученный раствор анализируют.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При термическом нагреве за счет конвекции, теплопроводности и радиационного переноса тепловой энергии происходит передача теплоты от </w:t>
      </w: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нагревателя к нагреваемому объекту. Автоклавное разложение с термическим нагревом дает возможность проводить многооперационный процесс в одну стадию (очистка поверхности образца и реагентов, разложение образца, разделение микро- и макрокомпонентов, концентрирование примесей).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Применение автоклавов с резистивным нагревом: анализ тугоплавких металлов и их соединений, тяжелых и цветных металлов, керамических материалов, когда необходимо все компоненты пробы перевести в раствор.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sz w:val="28"/>
          <w:szCs w:val="28"/>
        </w:rPr>
        <w:t>Нагревание образца под действием микроволнового излучения вызвано взаимодействием его с молекулами (ионами) во всем объеме облучаемого материала за счет высокой проникающие способности микроволновых лучей.</w:t>
      </w:r>
      <w:proofErr w:type="gramEnd"/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Разложение с микроволновым нагревом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Наиболее эффективным способом разложения проб является применение микроволновых полей.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Микроволновое излучение – это вид электромагнитного излучения. Оно представляет собой неионизирующее излучение, которое вызывает движение молекул за счет перемещения ионов и вращения диполей, но не приводит к изменениям в структуре молекул. Частоты микроволнового излучения лежат в диапазоне 300-300 000 МГц. Бытовые микроволновые печи работают на частоте 2450 МГц. Микроволновые печи, применяемые для аналитических целей, работают на частотах: 915±25, 2450±13, 5800±75, 22125±125 МГц. Выходная мощность микроволновой печи составляет 600-700 Вт.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Разложение проводится в специальных устройствах (микроволновые печи или печи ВЧ). Основной рабочий элемент печей – магнетрон.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Предельное максимальное давление может быть 10 атм., температура реакционной смеси до 240-250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, объем 120 мл.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Реагенты: соляная, азотная, плавиковая, фосфорная кислоты, жидкий бром, вода.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Наиболее приемлемы навески проб от 5 до 300 мг, оптимальный объем реакционной смеси 10-15 мл. Эффективное разложение проб наблюдается при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постадийном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нагревании печи (2-3 стадии по 3-5 мин каждая) и значения мощности 600, 450 и 300 Вт.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Применение: мед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, молибден- и золотосодержащие концентраты, продукты их переработки (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кеки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плавы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, огарки, остатки, штейны), шлаки металлургического производства, биологические материалы, объекты окружающей среды.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Вся процедура разложения труднорастворимых продуктов занимает 3-5 мин, дальнейшая обработка растворов – еще 5-15 мин.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Проведение процесса в аналитических автоклавах целевого назначения позволяет: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1) увеличить скорость разложения (с 5-6 часов в открытых системах до 2,5 ч (в автоклавах с резистивным нагревом) и 30 мин (в автоклавах с микроволновым нагревом));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2) снизить поправку холостого опыта за счет использования почти стехиометрического соотношения концентраций элемента и реагента;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3) предотвратить потери легколетучих компонентов,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4) при микроволновом разложении достигаются более высокие температуры, т.к. температура кипения кислоты увеличивается при повышении давления в сосуде.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5) устраняется или существенно снижается загрязнение примесями из воздуха.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4) в полной мере реализовать важнейшие преимущества современных инструментальных методов анализа –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экспрессность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низкие пределы обнаружения и определения, правильность, хорошая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воспроизводимость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, селективность.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863DF">
        <w:rPr>
          <w:rFonts w:ascii="Times New Roman" w:hAnsi="Times New Roman" w:cs="Times New Roman"/>
          <w:b/>
          <w:i/>
          <w:sz w:val="28"/>
          <w:szCs w:val="28"/>
        </w:rPr>
        <w:t>Разрушение органических веществ (минерализация пробы)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Большинство методов минерализации основано на окислении органического вещества различными способами.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Сухие способы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1) Прокаливание пробы на воздухе. Проводят а фарфоровой, кварцевой или платиновой чашке сначала при температуре 105-110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(для удаления воды), затем при 500 °С. Полученную золу подвергают разложению.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2) сжигание в токе кислорода. Чашечку (лодочку) с веществом помещают в нагреваемую трубку, через которую пропускают кислород.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3) прокаливание со спеканием. К пробе перед прокаливанием добавляют различные плавни (нитрат меди или магния, нитрат меди и хлората калия, оксид кальция или магния, смесь оксидов кальция с перманганатом калия).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4) сплавление с окислителем (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пероксил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натрия, в никелевом или железном тигле).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5) фотолиз (фотохимическое разложение). Продолжительность составляет от нескольких секунд до нескольких минут.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6) плазменная деструкция (низкотемпературная кислородная или аммиачная плазма). Температура составляет 100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, продолжительность 3-10 мин.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7) лазерное излучение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«Мокрые» способы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Достоинство: отсутствие потерь легколетучих компонентов за счет проведения процесса при низких температурах.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Недостаток: продолжительность процесса, необходимость введения большого количества окислителя.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Посуда: платиновые, фарфоровые или кварцевые тигли.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1) Метод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Кариуса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(обработка азотной кислотой). Пробу обрабатывают при нагревании до 250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дымящей азотной кислотой в запаянной трубке.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2) метод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Кьельдаля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или «мокрое сжигание». Пробу кипятят с концентрированной серной кислотой с добавлением катализаторов и без них.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3) метод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Дениже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– обработка смесью серной и азотной кислот в соотношении 1:2,5. Процесс проводят при нагревании в конической колбе.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4) окисление пероксидом водорода или перманганатом.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5) обработка окислителями (смесь серной и хромовой кислот, смесь серной кислоты и пергидроля 1:1), смесь йодной и хлорной кислот и т.д.).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6) восстановительная обработка (металлическим натрием в жидком аммиаке, абсолютном спирте). </w:t>
      </w:r>
    </w:p>
    <w:p w:rsid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A863DF">
        <w:rPr>
          <w:rFonts w:ascii="Times New Roman" w:hAnsi="Times New Roman" w:cs="Times New Roman"/>
          <w:b/>
          <w:i/>
          <w:sz w:val="28"/>
          <w:szCs w:val="28"/>
        </w:rPr>
        <w:t>МЕТОДЫ РАЗДЕЛЕНИЯ И КОНЦЕНТРИРОВАНИЯ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Необходимость разделения и концентрирования может быть обусловлена следующими факторами: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1) проба содержит компоненты, мешающие определению;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2) концентрация определяемого компонента ниже предела обнаружения метода;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3) определяемые компоненты неравномерно </w:t>
      </w:r>
      <w:r w:rsidRPr="00A863DF">
        <w:rPr>
          <w:rFonts w:ascii="Times New Roman" w:hAnsi="Times New Roman" w:cs="Times New Roman"/>
          <w:bCs/>
          <w:sz w:val="28"/>
          <w:szCs w:val="28"/>
        </w:rPr>
        <w:t>распределены</w:t>
      </w:r>
      <w:r w:rsidRPr="00A863DF">
        <w:rPr>
          <w:rFonts w:ascii="Times New Roman" w:hAnsi="Times New Roman" w:cs="Times New Roman"/>
          <w:sz w:val="28"/>
          <w:szCs w:val="28"/>
        </w:rPr>
        <w:t xml:space="preserve"> в пробе;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4) отсутствуют стандартные образцы для градуировки приборов;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5) проба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высокотоксична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, радиоактивна или дорога.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Разделение</w:t>
      </w:r>
      <w:r w:rsidRPr="00A863DF">
        <w:rPr>
          <w:rFonts w:ascii="Times New Roman" w:hAnsi="Times New Roman" w:cs="Times New Roman"/>
          <w:sz w:val="28"/>
          <w:szCs w:val="28"/>
        </w:rPr>
        <w:t xml:space="preserve"> – это операция (процесс), в результате которой компоненты, составляющие исходную смесь, отделяются друг от друга, причем их концентрации могут не отличаться или отличаться незначительно.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 xml:space="preserve">Концентрирование </w:t>
      </w:r>
      <w:r w:rsidRPr="00A863DF">
        <w:rPr>
          <w:rFonts w:ascii="Times New Roman" w:hAnsi="Times New Roman" w:cs="Times New Roman"/>
          <w:sz w:val="28"/>
          <w:szCs w:val="28"/>
        </w:rPr>
        <w:t>– это операция (процесс), в результате которой повышается отношение концентрации или количества компонентов, содержащихся на уровне примесей (микрокомпонентов), к концентрации или количеству основного компонента (макрокомпонент)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Для разделения и концентрирования используют методы, основанные на различии химических и физических свойств разделяемых компонентов: растворимости, сорбции, электрохимических характеристик, температур кипения, температур сублимации, агрегатного состояния и размера ионов, зарядов или масс и др.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/>
          <w:iCs/>
          <w:sz w:val="28"/>
          <w:szCs w:val="28"/>
        </w:rPr>
        <w:t xml:space="preserve">Абсолютное концентрирование - </w:t>
      </w:r>
      <w:r w:rsidRPr="00A863DF">
        <w:rPr>
          <w:rFonts w:ascii="Times New Roman" w:hAnsi="Times New Roman" w:cs="Times New Roman"/>
          <w:sz w:val="28"/>
          <w:szCs w:val="28"/>
        </w:rPr>
        <w:t xml:space="preserve">вещества, присутствующие в малом количестве собираются в меньшем объеме </w:t>
      </w:r>
      <w:r w:rsidRPr="00A863DF">
        <w:rPr>
          <w:rFonts w:ascii="Times New Roman" w:hAnsi="Times New Roman" w:cs="Times New Roman"/>
          <w:bCs/>
          <w:sz w:val="28"/>
          <w:szCs w:val="28"/>
        </w:rPr>
        <w:t>или</w:t>
      </w:r>
      <w:r w:rsidRPr="00A863DF">
        <w:rPr>
          <w:rFonts w:ascii="Times New Roman" w:hAnsi="Times New Roman" w:cs="Times New Roman"/>
          <w:sz w:val="28"/>
          <w:szCs w:val="28"/>
        </w:rPr>
        <w:t xml:space="preserve"> массе. Пример абсолютного концентрирования: упаривание матрицы при анализе вод, растворов минеральных кислот, органических растворителей.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/>
          <w:iCs/>
          <w:sz w:val="28"/>
          <w:szCs w:val="28"/>
        </w:rPr>
        <w:t>Относительное концентрирование</w:t>
      </w:r>
      <w:r w:rsidRPr="00A863DF">
        <w:rPr>
          <w:rFonts w:ascii="Times New Roman" w:hAnsi="Times New Roman" w:cs="Times New Roman"/>
          <w:sz w:val="28"/>
          <w:szCs w:val="28"/>
        </w:rPr>
        <w:t xml:space="preserve"> - вещества отделяются от макрокомпонента таким образом, что отношение концентрации микрокомпонента к концентрации макрокомпонента повышается</w:t>
      </w:r>
      <w:r w:rsidRPr="00A863DF">
        <w:rPr>
          <w:rFonts w:ascii="Times New Roman" w:hAnsi="Times New Roman" w:cs="Times New Roman"/>
          <w:iCs/>
          <w:sz w:val="28"/>
          <w:szCs w:val="28"/>
        </w:rPr>
        <w:t>.</w:t>
      </w:r>
      <w:r w:rsidRPr="00A863D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863DF">
        <w:rPr>
          <w:rFonts w:ascii="Times New Roman" w:hAnsi="Times New Roman" w:cs="Times New Roman"/>
          <w:sz w:val="28"/>
          <w:szCs w:val="28"/>
        </w:rPr>
        <w:t xml:space="preserve">Относительное концентрирование можно рассматривать как разделение с тем отличием, что исходные концентрации компонентов здесь резко отличаются.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Главная цель относительного концентрирования – замена матрицы, по тем или иным причинам затрудняющей анализ, на иную органическую или неорганическую. Например, при определении микропримесей в серебре высокой чистоты матричный элемент экстрагируют О-изопропил-N-</w:t>
      </w:r>
      <w:proofErr w:type="spellStart"/>
      <w:r w:rsidRPr="00A863DF">
        <w:rPr>
          <w:rFonts w:ascii="Times New Roman" w:hAnsi="Times New Roman" w:cs="Times New Roman"/>
          <w:bCs/>
          <w:sz w:val="28"/>
          <w:szCs w:val="28"/>
        </w:rPr>
        <w:t>этилтиокарбаминатом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 хлороформе и затем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после выпаривания водной фазы до небольшого объема, любым методом определяют микрокомпоненты.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i/>
          <w:sz w:val="28"/>
          <w:szCs w:val="28"/>
        </w:rPr>
        <w:t>Групповое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– за один прием </w:t>
      </w:r>
      <w:r w:rsidRPr="00A863DF">
        <w:rPr>
          <w:rFonts w:ascii="Times New Roman" w:hAnsi="Times New Roman" w:cs="Times New Roman"/>
          <w:bCs/>
          <w:sz w:val="28"/>
          <w:szCs w:val="28"/>
        </w:rPr>
        <w:t>отделяется</w:t>
      </w:r>
      <w:r w:rsidRPr="00A863DF">
        <w:rPr>
          <w:rFonts w:ascii="Times New Roman" w:hAnsi="Times New Roman" w:cs="Times New Roman"/>
          <w:sz w:val="28"/>
          <w:szCs w:val="28"/>
        </w:rPr>
        <w:t xml:space="preserve"> несколько компонентов.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i/>
          <w:sz w:val="28"/>
          <w:szCs w:val="28"/>
        </w:rPr>
        <w:t>Индивидуальное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– из образца выделяют один компонент или последовательно несколько компонентов.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При использовании многоэлементных методов определения (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атомно-эмиссионный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рентгенофлуоресцентный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искровая масс-спектрометрия, нейтронно-активационный) предпочтительнее групповое разделение и </w:t>
      </w: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концентрирование. При определении методами фотометрии,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флуориметрии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атомно-абсорбционным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, напротив, целесообразнее индивидуальное выделение компонента.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863DF">
        <w:rPr>
          <w:rFonts w:ascii="Times New Roman" w:hAnsi="Times New Roman" w:cs="Times New Roman"/>
          <w:i/>
          <w:sz w:val="28"/>
          <w:szCs w:val="28"/>
          <w:u w:val="single"/>
        </w:rPr>
        <w:t xml:space="preserve">Классификация методов концентрирования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A863DF">
        <w:rPr>
          <w:rFonts w:ascii="Times New Roman" w:hAnsi="Times New Roman" w:cs="Times New Roman"/>
          <w:i/>
          <w:sz w:val="28"/>
          <w:szCs w:val="28"/>
        </w:rPr>
        <w:t xml:space="preserve"> в зависимости от природы процесса разделения: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1 химические и физико-химические методы: отгонка, осаждение 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соосаждение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, пробирная плавка, жидкостная экстракция, ионный обмен, сорбция, флотация, химические транспортные реакции, частичное растворение матрицы, электрохимические методы (электролиз, электродиализ, инверсионная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вольтамперометрия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Недостатки химических методов концентрирования:</w:t>
      </w:r>
    </w:p>
    <w:p w:rsidR="00A863DF" w:rsidRPr="00A863DF" w:rsidRDefault="00A863DF" w:rsidP="00A863DF">
      <w:pPr>
        <w:numPr>
          <w:ilvl w:val="0"/>
          <w:numId w:val="2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Возможные потери низких содержаний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аналита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;</w:t>
      </w:r>
    </w:p>
    <w:p w:rsidR="00A863DF" w:rsidRPr="00A863DF" w:rsidRDefault="00A863DF" w:rsidP="00A863DF">
      <w:pPr>
        <w:numPr>
          <w:ilvl w:val="0"/>
          <w:numId w:val="2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Внесение загрязнений извне (реагенты, посуда, аппаратура, воздух лабораторных помещений);</w:t>
      </w:r>
    </w:p>
    <w:p w:rsidR="00A863DF" w:rsidRPr="00A863DF" w:rsidRDefault="00A863DF" w:rsidP="00A863DF">
      <w:pPr>
        <w:numPr>
          <w:ilvl w:val="0"/>
          <w:numId w:val="2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Высокий вклад холостого опыта в результат анализа.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Современные направления усовершенствования химических методов концентрирования:</w:t>
      </w:r>
    </w:p>
    <w:p w:rsidR="00A863DF" w:rsidRPr="00A863DF" w:rsidRDefault="00A863DF" w:rsidP="00A863DF">
      <w:pPr>
        <w:numPr>
          <w:ilvl w:val="0"/>
          <w:numId w:val="28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Многообразие химических реакций, лежащих в основе химических методов концентрирования;</w:t>
      </w:r>
    </w:p>
    <w:p w:rsidR="00A863DF" w:rsidRPr="00A863DF" w:rsidRDefault="00A863DF" w:rsidP="00A863DF">
      <w:pPr>
        <w:numPr>
          <w:ilvl w:val="0"/>
          <w:numId w:val="28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Изменение температурных режимов;</w:t>
      </w:r>
    </w:p>
    <w:p w:rsidR="00A863DF" w:rsidRPr="00A863DF" w:rsidRDefault="00A863DF" w:rsidP="00A863DF">
      <w:pPr>
        <w:numPr>
          <w:ilvl w:val="0"/>
          <w:numId w:val="28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Применение современное аппаратуры с использованием перспективных материалов (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стеклоуглерод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, фторопласт, высокотемпературная керамика).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2 физические методы: зонная плавка, испарение и сублимация в вакууме, магнитная сепарация ионов, дистилляция, кристаллизация, фильтрация, гель-фильтрация,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ультрацентрифугирование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. Достоинство – отсутствие или низкий вклад холостого опыта в результат анализа.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  <w:lang w:val="en-US"/>
        </w:rPr>
        <w:t>II</w:t>
      </w:r>
      <w:r w:rsidRPr="00A863DF">
        <w:rPr>
          <w:rFonts w:ascii="Times New Roman" w:hAnsi="Times New Roman" w:cs="Times New Roman"/>
          <w:i/>
          <w:sz w:val="28"/>
          <w:szCs w:val="28"/>
        </w:rPr>
        <w:t xml:space="preserve"> в зависимости от числа и характера фаз: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1 Разделения, основанные на равновесии между твердой и жидкой фазами: осаждение 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соосаждение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, адсорбционная и ионообменная хроматография, электролиз на твердых электродах, зонная плавка.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2 методы разделения, основанные на равновесии между двумя жидкими фазами: экстракция органическими растворителями, распределительная хроматография, электролиз на ртутном катоде;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3 методы разделения, основанные на удалении одного из компонентов в виде газа: метод отгонки.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Для разделения и концентрирования используют одни и те же методы, основные из которых:</w:t>
      </w:r>
    </w:p>
    <w:p w:rsidR="00A863DF" w:rsidRPr="00A863DF" w:rsidRDefault="00A863DF" w:rsidP="00A863DF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Экстракция;</w:t>
      </w:r>
    </w:p>
    <w:p w:rsidR="00A863DF" w:rsidRPr="00A863DF" w:rsidRDefault="00A863DF" w:rsidP="00A863DF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Сорбционные методы (сорбция, ионообменная и хелатная хроматография);</w:t>
      </w:r>
    </w:p>
    <w:p w:rsidR="00A863DF" w:rsidRPr="00A863DF" w:rsidRDefault="00A863DF" w:rsidP="00A863DF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Осаждение 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соосаждение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;</w:t>
      </w:r>
    </w:p>
    <w:p w:rsidR="00A863DF" w:rsidRPr="00A863DF" w:rsidRDefault="00A863DF" w:rsidP="00A863DF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Электрохимические методы;</w:t>
      </w:r>
    </w:p>
    <w:p w:rsidR="00A863DF" w:rsidRPr="00A863DF" w:rsidRDefault="00A863DF" w:rsidP="00A863DF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Мембранные методы;</w:t>
      </w:r>
    </w:p>
    <w:p w:rsidR="00A863DF" w:rsidRPr="00A863DF" w:rsidRDefault="00A863DF" w:rsidP="00A863DF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Физические и физико-химические методы;</w:t>
      </w:r>
    </w:p>
    <w:p w:rsidR="00A863DF" w:rsidRPr="00A863DF" w:rsidRDefault="00A863DF" w:rsidP="00A863DF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>Флотация.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A863DF">
        <w:rPr>
          <w:rFonts w:ascii="Times New Roman" w:hAnsi="Times New Roman" w:cs="Times New Roman"/>
          <w:b/>
          <w:i/>
          <w:iCs/>
          <w:sz w:val="28"/>
          <w:szCs w:val="28"/>
        </w:rPr>
        <w:t>Экстракционные методы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/>
          <w:iCs/>
          <w:sz w:val="28"/>
          <w:szCs w:val="28"/>
        </w:rPr>
        <w:t xml:space="preserve">Экстракция – </w:t>
      </w:r>
      <w:r w:rsidRPr="00A863DF">
        <w:rPr>
          <w:rFonts w:ascii="Times New Roman" w:hAnsi="Times New Roman" w:cs="Times New Roman"/>
          <w:iCs/>
          <w:sz w:val="28"/>
          <w:szCs w:val="28"/>
        </w:rPr>
        <w:t>это метод, основанный на распределении растворенного вещества между двумя несмешивающимися фазами.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 xml:space="preserve">Задача экстракции – наиболее полно и селективно перевести компонент из водной фазы в </w:t>
      </w:r>
      <w:proofErr w:type="gramStart"/>
      <w:r w:rsidRPr="00A863DF">
        <w:rPr>
          <w:rFonts w:ascii="Times New Roman" w:hAnsi="Times New Roman" w:cs="Times New Roman"/>
          <w:iCs/>
          <w:sz w:val="28"/>
          <w:szCs w:val="28"/>
        </w:rPr>
        <w:t>органическую</w:t>
      </w:r>
      <w:proofErr w:type="gramEnd"/>
      <w:r w:rsidRPr="00A863DF">
        <w:rPr>
          <w:rFonts w:ascii="Times New Roman" w:hAnsi="Times New Roman" w:cs="Times New Roman"/>
          <w:iCs/>
          <w:sz w:val="28"/>
          <w:szCs w:val="28"/>
        </w:rPr>
        <w:t>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Достоинства экстракции: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 xml:space="preserve">- высокая избирательность и чистота разделения;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- возможность работы с большими и малыми концентрациями;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- отсутствие загрязнений продуктов;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- легкость технологического и аппаратурного оформления;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- возможность осуществления непрерывного процесса, автоматизация;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- высокая производительность.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863DF">
        <w:rPr>
          <w:rFonts w:ascii="Times New Roman" w:hAnsi="Times New Roman" w:cs="Times New Roman"/>
          <w:i/>
          <w:iCs/>
          <w:sz w:val="28"/>
          <w:szCs w:val="28"/>
        </w:rPr>
        <w:t>Условия экстракции вещества</w:t>
      </w:r>
    </w:p>
    <w:p w:rsidR="00A863DF" w:rsidRPr="00A863DF" w:rsidRDefault="00A863DF" w:rsidP="00A863DF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Чтобы ион металла и другие заряженные частицы перешли в органическую фазу, необходимо нейтрализовать заряд, для чего связывают ионы металла в незаряженный комплекс;</w:t>
      </w:r>
    </w:p>
    <w:p w:rsidR="00A863DF" w:rsidRPr="00A863DF" w:rsidRDefault="00A863DF" w:rsidP="00A863DF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Экстракция возможна, если растворимость экстрагирующегося соединения в органическом растворителе выше, чем в воде; чем больше энергия сольватации и меньше энергия гидратации, тем выше степень извлечения.</w:t>
      </w:r>
    </w:p>
    <w:p w:rsidR="00A863DF" w:rsidRPr="00A863DF" w:rsidRDefault="00A863DF" w:rsidP="00A863DF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Для того чтобы соединение было хорошо растворимо в органическом растворителе, необходимо обеспечить его гидрофобность, т.е. должны отсутствовать гидрофильные группы (-</w:t>
      </w:r>
      <w:r w:rsidRPr="00A863DF">
        <w:rPr>
          <w:rFonts w:ascii="Times New Roman" w:hAnsi="Times New Roman" w:cs="Times New Roman"/>
          <w:iCs/>
          <w:sz w:val="28"/>
          <w:szCs w:val="28"/>
          <w:lang w:val="en-US"/>
        </w:rPr>
        <w:t>SO</w:t>
      </w:r>
      <w:r w:rsidRPr="00A863DF">
        <w:rPr>
          <w:rFonts w:ascii="Times New Roman" w:hAnsi="Times New Roman" w:cs="Times New Roman"/>
          <w:iCs/>
          <w:sz w:val="28"/>
          <w:szCs w:val="28"/>
          <w:vertAlign w:val="subscript"/>
        </w:rPr>
        <w:t>3</w:t>
      </w:r>
      <w:r w:rsidRPr="00A863DF">
        <w:rPr>
          <w:rFonts w:ascii="Times New Roman" w:hAnsi="Times New Roman" w:cs="Times New Roman"/>
          <w:iCs/>
          <w:sz w:val="28"/>
          <w:szCs w:val="28"/>
          <w:lang w:val="en-US"/>
        </w:rPr>
        <w:t>H</w:t>
      </w:r>
      <w:r w:rsidRPr="00A863DF">
        <w:rPr>
          <w:rFonts w:ascii="Times New Roman" w:hAnsi="Times New Roman" w:cs="Times New Roman"/>
          <w:iCs/>
          <w:sz w:val="28"/>
          <w:szCs w:val="28"/>
        </w:rPr>
        <w:t>, -</w:t>
      </w:r>
      <w:r w:rsidRPr="00A863DF">
        <w:rPr>
          <w:rFonts w:ascii="Times New Roman" w:hAnsi="Times New Roman" w:cs="Times New Roman"/>
          <w:iCs/>
          <w:sz w:val="28"/>
          <w:szCs w:val="28"/>
          <w:lang w:val="en-US"/>
        </w:rPr>
        <w:t>COOH</w:t>
      </w:r>
      <w:r w:rsidRPr="00A863DF">
        <w:rPr>
          <w:rFonts w:ascii="Times New Roman" w:hAnsi="Times New Roman" w:cs="Times New Roman"/>
          <w:iCs/>
          <w:sz w:val="28"/>
          <w:szCs w:val="28"/>
        </w:rPr>
        <w:t>, -</w:t>
      </w:r>
      <w:r w:rsidRPr="00A863DF">
        <w:rPr>
          <w:rFonts w:ascii="Times New Roman" w:hAnsi="Times New Roman" w:cs="Times New Roman"/>
          <w:iCs/>
          <w:sz w:val="28"/>
          <w:szCs w:val="28"/>
          <w:lang w:val="en-US"/>
        </w:rPr>
        <w:t>OH</w:t>
      </w:r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и др.) и внешняя органическая часть </w:t>
      </w:r>
      <w:proofErr w:type="spellStart"/>
      <w:r w:rsidRPr="00A863DF">
        <w:rPr>
          <w:rFonts w:ascii="Times New Roman" w:hAnsi="Times New Roman" w:cs="Times New Roman"/>
          <w:iCs/>
          <w:sz w:val="28"/>
          <w:szCs w:val="28"/>
        </w:rPr>
        <w:t>хелата</w:t>
      </w:r>
      <w:proofErr w:type="spell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должна быть достаточно объемистой и могла блокировать гидрофильную часть молекулы.</w:t>
      </w:r>
    </w:p>
    <w:p w:rsidR="00A863DF" w:rsidRPr="00A863DF" w:rsidRDefault="00A863DF" w:rsidP="00A863DF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С увеличением размера молекул экстрагирующегося соединения степень извлечения обычно повышается, т.к. крупные молекулы сильнее нарушают структуру воды.</w:t>
      </w:r>
    </w:p>
    <w:p w:rsidR="00A863DF" w:rsidRPr="00A863DF" w:rsidRDefault="00A863DF" w:rsidP="00A863DF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 xml:space="preserve">Экстракции способствует «сольватация» молекулами </w:t>
      </w:r>
      <w:proofErr w:type="spellStart"/>
      <w:r w:rsidRPr="00A863DF">
        <w:rPr>
          <w:rFonts w:ascii="Times New Roman" w:hAnsi="Times New Roman" w:cs="Times New Roman"/>
          <w:iCs/>
          <w:sz w:val="28"/>
          <w:szCs w:val="28"/>
        </w:rPr>
        <w:t>экстрагента</w:t>
      </w:r>
      <w:proofErr w:type="spell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:rsidR="00A863DF" w:rsidRPr="00A863DF" w:rsidRDefault="00A863DF" w:rsidP="00A863DF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При экстракции ионных </w:t>
      </w:r>
      <w:proofErr w:type="spellStart"/>
      <w:r w:rsidRPr="00A863DF">
        <w:rPr>
          <w:rFonts w:ascii="Times New Roman" w:hAnsi="Times New Roman" w:cs="Times New Roman"/>
          <w:iCs/>
          <w:sz w:val="28"/>
          <w:szCs w:val="28"/>
        </w:rPr>
        <w:t>ассоциатов</w:t>
      </w:r>
      <w:proofErr w:type="spell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важны заряд и размер ионов; экстракция ухудшается с увеличением заряда и уменьшением размера ионов.</w:t>
      </w:r>
      <w:proofErr w:type="gram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При прочих равных условиях обычно лучше экстрагируются однозарядные ионы, хуже – дву</w:t>
      </w:r>
      <w:proofErr w:type="gramStart"/>
      <w:r w:rsidRPr="00A863DF">
        <w:rPr>
          <w:rFonts w:ascii="Times New Roman" w:hAnsi="Times New Roman" w:cs="Times New Roman"/>
          <w:iCs/>
          <w:sz w:val="28"/>
          <w:szCs w:val="28"/>
        </w:rPr>
        <w:t>х-</w:t>
      </w:r>
      <w:proofErr w:type="gram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и особенно трехзарядные ионы.</w:t>
      </w:r>
    </w:p>
    <w:p w:rsidR="00A863DF" w:rsidRPr="00A863DF" w:rsidRDefault="00A863DF" w:rsidP="00A863DF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В равных условиях более устойчивые комплексы экстрагируются лучше.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 xml:space="preserve">В большинстве случаев используют системы, где одна фаза – водный раствор, а другая – не смешивающийся с водой органический растворитель, оказывающий существенное влияние  на экстракцию. </w:t>
      </w:r>
      <w:proofErr w:type="gramStart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Применяют следующие органические растворители: бензол, толуол, циклогексан, хлороформ, четыреххлористый углерод, изоамиловый и бутиловый спирты, </w:t>
      </w:r>
      <w:proofErr w:type="spellStart"/>
      <w:r w:rsidRPr="00A863DF">
        <w:rPr>
          <w:rFonts w:ascii="Times New Roman" w:hAnsi="Times New Roman" w:cs="Times New Roman"/>
          <w:iCs/>
          <w:sz w:val="28"/>
          <w:szCs w:val="28"/>
        </w:rPr>
        <w:t>диэтиловый</w:t>
      </w:r>
      <w:proofErr w:type="spell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эфир, этилацетат, кетоны, карбоновые кислоты и др.</w:t>
      </w:r>
      <w:proofErr w:type="gramEnd"/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lastRenderedPageBreak/>
        <w:t>Органический растворитель может быть: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а) непосредственно взаимодействовать с веществом в водной фазе с образованием экстрагируемого соединения;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 xml:space="preserve">б) являться средой, в которой растворен органический реагент (экстракционный реагент), который взаимодействует с веществом в водной фазе с образованием экстрагируемого соединения.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 xml:space="preserve">Система, состоящая из раствора экстракционного реагента в органическом растворителе или смеси растворителей, применяемая для экстракции вещества из водной фазы в </w:t>
      </w:r>
      <w:proofErr w:type="gramStart"/>
      <w:r w:rsidRPr="00A863DF">
        <w:rPr>
          <w:rFonts w:ascii="Times New Roman" w:hAnsi="Times New Roman" w:cs="Times New Roman"/>
          <w:iCs/>
          <w:sz w:val="28"/>
          <w:szCs w:val="28"/>
        </w:rPr>
        <w:t>органическую</w:t>
      </w:r>
      <w:proofErr w:type="gram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называется </w:t>
      </w:r>
      <w:proofErr w:type="spellStart"/>
      <w:r w:rsidRPr="00A863DF">
        <w:rPr>
          <w:rFonts w:ascii="Times New Roman" w:hAnsi="Times New Roman" w:cs="Times New Roman"/>
          <w:iCs/>
          <w:sz w:val="28"/>
          <w:szCs w:val="28"/>
        </w:rPr>
        <w:t>экстрагентом</w:t>
      </w:r>
      <w:proofErr w:type="spellEnd"/>
      <w:r w:rsidRPr="00A863DF">
        <w:rPr>
          <w:rFonts w:ascii="Times New Roman" w:hAnsi="Times New Roman" w:cs="Times New Roman"/>
          <w:iCs/>
          <w:sz w:val="28"/>
          <w:szCs w:val="28"/>
        </w:rPr>
        <w:t>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 xml:space="preserve">Например, раствор 8-оксихинолина в хлороформе – </w:t>
      </w:r>
      <w:proofErr w:type="spellStart"/>
      <w:r w:rsidRPr="00A863DF">
        <w:rPr>
          <w:rFonts w:ascii="Times New Roman" w:hAnsi="Times New Roman" w:cs="Times New Roman"/>
          <w:iCs/>
          <w:sz w:val="28"/>
          <w:szCs w:val="28"/>
        </w:rPr>
        <w:t>экстрагент</w:t>
      </w:r>
      <w:proofErr w:type="spellEnd"/>
      <w:r w:rsidRPr="00A863DF">
        <w:rPr>
          <w:rFonts w:ascii="Times New Roman" w:hAnsi="Times New Roman" w:cs="Times New Roman"/>
          <w:iCs/>
          <w:sz w:val="28"/>
          <w:szCs w:val="28"/>
        </w:rPr>
        <w:t>, а 8-оксихинолин – экстракционный реагент.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iCs/>
          <w:sz w:val="28"/>
          <w:szCs w:val="28"/>
        </w:rPr>
        <w:t>Причина экстракции – это различная растворимость вещества в водной и органической фазах, поэтому при контакте двух фаз вещество распределяется между ними так, что концентрация его в одной фазе увеличивается, а в другой уменьшается до установления состояния динамического равновесия (при постоянных давлении и температуре)</w:t>
      </w:r>
      <w:proofErr w:type="gramEnd"/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863DF">
        <w:rPr>
          <w:rFonts w:ascii="Times New Roman" w:hAnsi="Times New Roman" w:cs="Times New Roman"/>
          <w:i/>
          <w:iCs/>
          <w:sz w:val="28"/>
          <w:szCs w:val="28"/>
        </w:rPr>
        <w:t>Основные законы и количественные характеристики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>Распределение вещества</w:t>
      </w:r>
      <w:proofErr w:type="gramStart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А</w:t>
      </w:r>
      <w:proofErr w:type="gram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в условиях равновесия в системе, состоящей из двух ограниченно смешивающихся жидких фаз, можно представить в виде: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object w:dxaOrig="940" w:dyaOrig="360">
          <v:shape id="_x0000_i1027" type="#_x0000_t75" style="width:46.8pt;height:18pt" o:ole="">
            <v:imagedata r:id="rId11" o:title=""/>
          </v:shape>
          <o:OLEObject Type="Embed" ProgID="Equation.3" ShapeID="_x0000_i1027" DrawAspect="Content" ObjectID="_1759780149" r:id="rId12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Изменение энергии Гиббса для гетерогенного равновесия описывается уравнением вида: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2400" w:dyaOrig="740">
          <v:shape id="_x0000_i1028" type="#_x0000_t75" style="width:120pt;height:37.2pt" o:ole="">
            <v:imagedata r:id="rId13" o:title=""/>
          </v:shape>
          <o:OLEObject Type="Embed" ProgID="Equation.3" ShapeID="_x0000_i1028" DrawAspect="Content" ObjectID="_1759780150" r:id="rId14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Поскольку в условиях равновесия Δ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A863DF">
        <w:rPr>
          <w:rFonts w:ascii="Times New Roman" w:hAnsi="Times New Roman" w:cs="Times New Roman"/>
          <w:sz w:val="28"/>
          <w:szCs w:val="28"/>
        </w:rPr>
        <w:t>=0, то: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900" w:dyaOrig="780">
          <v:shape id="_x0000_i1029" type="#_x0000_t75" style="width:94.8pt;height:39pt" o:ole="">
            <v:imagedata r:id="rId15" o:title=""/>
          </v:shape>
          <o:OLEObject Type="Embed" ProgID="Equation.3" ShapeID="_x0000_i1029" DrawAspect="Content" ObjectID="_1759780151" r:id="rId16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t xml:space="preserve">При постоянных </w:t>
      </w:r>
      <w:proofErr w:type="gramStart"/>
      <w:r w:rsidRPr="00A863DF">
        <w:rPr>
          <w:rFonts w:ascii="Times New Roman" w:hAnsi="Times New Roman" w:cs="Times New Roman"/>
          <w:iCs/>
          <w:sz w:val="28"/>
          <w:szCs w:val="28"/>
        </w:rPr>
        <w:t>давлении</w:t>
      </w:r>
      <w:proofErr w:type="gramEnd"/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и температуре отношение активностей одной и той же формы растворенного вещества в этих фазах – есть величина постоянная (закон распределения Нернста). Величину </w:t>
      </w:r>
      <w:r w:rsidRPr="00A863DF">
        <w:rPr>
          <w:rFonts w:ascii="Times New Roman" w:hAnsi="Times New Roman" w:cs="Times New Roman"/>
          <w:iCs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iCs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iCs/>
          <w:sz w:val="28"/>
          <w:szCs w:val="28"/>
          <w:vertAlign w:val="superscript"/>
        </w:rPr>
        <w:t>0</w:t>
      </w:r>
      <w:r w:rsidRPr="00A863DF">
        <w:rPr>
          <w:rFonts w:ascii="Times New Roman" w:hAnsi="Times New Roman" w:cs="Times New Roman"/>
          <w:iCs/>
          <w:sz w:val="28"/>
          <w:szCs w:val="28"/>
        </w:rPr>
        <w:t xml:space="preserve"> называют константой распределения. В реальных условиях используют реальную константу распределения: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object w:dxaOrig="1120" w:dyaOrig="700">
          <v:shape id="_x0000_i1030" type="#_x0000_t75" style="width:55.8pt;height:34.8pt" o:ole="">
            <v:imagedata r:id="rId17" o:title=""/>
          </v:shape>
          <o:OLEObject Type="Embed" ProgID="Equation.3" ShapeID="_x0000_i1030" DrawAspect="Content" ObjectID="_1759780152" r:id="rId18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Предельное значение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 xml:space="preserve">, найденное при ионной силе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863DF">
        <w:rPr>
          <w:rFonts w:ascii="Times New Roman" w:hAnsi="Times New Roman" w:cs="Times New Roman"/>
          <w:sz w:val="28"/>
          <w:szCs w:val="28"/>
        </w:rPr>
        <w:t>→0, близко к истинной константе распределения.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Если обе фазы – растворы, насыщенные относительно твердой фазы, и экстрагируемое вещество существует в единственной форме, то при равновесии константа распределения равна: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object w:dxaOrig="960" w:dyaOrig="700">
          <v:shape id="_x0000_i1031" type="#_x0000_t75" style="width:48pt;height:34.8pt" o:ole="">
            <v:imagedata r:id="rId19" o:title=""/>
          </v:shape>
          <o:OLEObject Type="Embed" ProgID="Equation.3" ShapeID="_x0000_i1031" DrawAspect="Content" ObjectID="_1759780153" r:id="rId20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Где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A863DF">
        <w:rPr>
          <w:rFonts w:ascii="Times New Roman" w:hAnsi="Times New Roman" w:cs="Times New Roman"/>
          <w:sz w:val="28"/>
          <w:szCs w:val="28"/>
        </w:rPr>
        <w:t xml:space="preserve"> – растворимости вещества в органической и водной фазах.</w:t>
      </w:r>
      <w:proofErr w:type="gramEnd"/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Значение константы распределения зависит от природы распределяемого вещества 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экстрагента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, температуры экстракции, и не зависит от равновесных концентраций экстрагируемого вещества и от объемов фаз.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На практике для нахождения константы распределения проводят серию опытов по извлечению вещества при разных начальных, значит, и равновесных концентрациях экстрагируемого вещества. Необходимо исследовать как можно более широкий диапазон равновесных концентраций. По полученным экспериментальным данным строят график зависимости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 xml:space="preserve"> от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A863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Типы зависимостей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proofErr w:type="gramEnd"/>
      <w:r w:rsidRPr="00A863DF">
        <w:rPr>
          <w:rFonts w:ascii="Times New Roman" w:hAnsi="Times New Roman" w:cs="Times New Roman"/>
          <w:sz w:val="28"/>
          <w:szCs w:val="28"/>
        </w:rPr>
        <w:t>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1) Экстрагируемое вещество в пределах исследованных равновесных концентраций не образует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ассоциатов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ни в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водной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>, ни в органической фазах. Зависимость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графически представляет собой прямую, проходящую через начало координат (рис. 1., прямая 1). Тангенс угла наклона этой прямой к оси абсцисс равен константе распределения: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579" w:dyaOrig="700">
          <v:shape id="_x0000_i1032" type="#_x0000_t75" style="width:79.2pt;height:34.8pt" o:ole="">
            <v:imagedata r:id="rId21" o:title=""/>
          </v:shape>
          <o:OLEObject Type="Embed" ProgID="Equation.3" ShapeID="_x0000_i1032" DrawAspect="Content" ObjectID="_1759780154" r:id="rId22"/>
        </w:object>
      </w:r>
      <w:r w:rsidRPr="00A863DF">
        <w:rPr>
          <w:rFonts w:ascii="Times New Roman" w:hAnsi="Times New Roman" w:cs="Times New Roman"/>
          <w:sz w:val="28"/>
          <w:szCs w:val="28"/>
        </w:rPr>
        <w:t xml:space="preserve"> или </w:t>
      </w:r>
      <w:r w:rsidRPr="00A863DF">
        <w:rPr>
          <w:rFonts w:ascii="Times New Roman" w:hAnsi="Times New Roman" w:cs="Times New Roman"/>
          <w:sz w:val="28"/>
          <w:szCs w:val="28"/>
        </w:rPr>
        <w:object w:dxaOrig="1300" w:dyaOrig="360">
          <v:shape id="_x0000_i1033" type="#_x0000_t75" style="width:64.8pt;height:18pt" o:ole="">
            <v:imagedata r:id="rId23" o:title=""/>
          </v:shape>
          <o:OLEObject Type="Embed" ProgID="Equation.3" ShapeID="_x0000_i1033" DrawAspect="Content" ObjectID="_1759780155" r:id="rId24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Уравнение прямой называется уравнением изотермы экстракции. Отношение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>/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сохраняется постоянным и равно константе распределения (рис. 2, прямая 1).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2) Экстрагируемое вещество образует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ассоциат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димер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) в органическом растворителе. График зависимости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представляет собой кривую с выпуклостями, обращенной к оси ординат (рис. 1, кривая 2). По полученным значениям и кривой невозможно определить константу распределения. Отношение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>/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не остается постоянным. Распределение описывается уравнением Н.А. Шилова: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object w:dxaOrig="1820" w:dyaOrig="700">
          <v:shape id="_x0000_i1034" type="#_x0000_t75" style="width:91.2pt;height:34.8pt" o:ole="">
            <v:imagedata r:id="rId25" o:title=""/>
          </v:shape>
          <o:OLEObject Type="Embed" ProgID="Equation.3" ShapeID="_x0000_i1034" DrawAspect="Content" ObjectID="_1759780156" r:id="rId26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Где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>ʹ - константа, соответствующая величине [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</w:rPr>
        <w:t>]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o</w:t>
      </w:r>
      <w:r w:rsidRPr="00A863DF">
        <w:rPr>
          <w:rFonts w:ascii="Times New Roman" w:hAnsi="Times New Roman" w:cs="Times New Roman"/>
          <w:sz w:val="28"/>
          <w:szCs w:val="28"/>
        </w:rPr>
        <w:t xml:space="preserve"> при условии, что [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863DF">
        <w:rPr>
          <w:rFonts w:ascii="Times New Roman" w:hAnsi="Times New Roman" w:cs="Times New Roman"/>
          <w:sz w:val="28"/>
          <w:szCs w:val="28"/>
        </w:rPr>
        <w:t>]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A863DF">
        <w:rPr>
          <w:rFonts w:ascii="Times New Roman" w:hAnsi="Times New Roman" w:cs="Times New Roman"/>
          <w:sz w:val="28"/>
          <w:szCs w:val="28"/>
        </w:rPr>
        <w:t xml:space="preserve"> = 1 моль/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;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</w:rPr>
        <w:t xml:space="preserve"> – коэффициент, характеризующий степень ассоциации.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 xml:space="preserve">ʹ не равна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863DF">
        <w:rPr>
          <w:rFonts w:ascii="Times New Roman" w:hAnsi="Times New Roman" w:cs="Times New Roman"/>
          <w:sz w:val="28"/>
          <w:szCs w:val="28"/>
        </w:rPr>
        <w:t xml:space="preserve">при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</w:rPr>
        <w:t xml:space="preserve">=1. Если ассоциирует только часть молекул растворенного вещества или если образуется несколько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ассоциатов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разного состава, то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</w:rPr>
        <w:t xml:space="preserve">  может быть дробным числом. Ассоциация происходит только при больших концентрациях распределяемого вещества. Поэтому экстракцию распределения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863DF">
        <w:rPr>
          <w:rFonts w:ascii="Times New Roman" w:hAnsi="Times New Roman" w:cs="Times New Roman"/>
          <w:sz w:val="28"/>
          <w:szCs w:val="28"/>
        </w:rPr>
        <w:t>находят экстраполяцией зависимости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>/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 к нулевому значению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(рисунок 2, кривая 2). Для нахождения величины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прологарифируем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уравнение Шилова: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2200" w:dyaOrig="360">
          <v:shape id="_x0000_i1035" type="#_x0000_t75" style="width:109.8pt;height:18pt" o:ole="">
            <v:imagedata r:id="rId27" o:title=""/>
          </v:shape>
          <o:OLEObject Type="Embed" ProgID="Equation.3" ShapeID="_x0000_i1035" DrawAspect="Content" ObjectID="_1759780157" r:id="rId28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Получим уравнение прямой, тангенс угла наклона которой к оси абсцисс равен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Прямая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отсекает на оси ординат отрезок, соответствующий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lgK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ʹ (рисунок 3). Следовательно,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 xml:space="preserve">ʹ 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</w:rPr>
        <w:t xml:space="preserve"> – константы в уравнении изотермы экстракции.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 xml:space="preserve">3) Экстрагируемое вещество образует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ассоциат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 водном растворе: </w:t>
      </w:r>
      <w:proofErr w:type="gramStart"/>
      <w:r w:rsidRPr="00A863D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(</w:t>
      </w:r>
      <w:proofErr w:type="gram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В)</w:t>
      </w:r>
      <w:r w:rsidRPr="00A863DF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nA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>, следовательно: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Cs/>
          <w:sz w:val="28"/>
          <w:szCs w:val="28"/>
        </w:rPr>
        <w:object w:dxaOrig="1800" w:dyaOrig="720">
          <v:shape id="_x0000_i1036" type="#_x0000_t75" style="width:90pt;height:36pt" o:ole="">
            <v:imagedata r:id="rId29" o:title=""/>
          </v:shape>
          <o:OLEObject Type="Embed" ProgID="Equation.3" ShapeID="_x0000_i1036" DrawAspect="Content" ObjectID="_1759780158" r:id="rId30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График зависимости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представляет собой кривую с выпуклостью, обращенной к оси абсцисс (рис. 1, кривая 3). Константу распределения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863DF">
        <w:rPr>
          <w:rFonts w:ascii="Times New Roman" w:hAnsi="Times New Roman" w:cs="Times New Roman"/>
          <w:sz w:val="28"/>
          <w:szCs w:val="28"/>
        </w:rPr>
        <w:t>находят экстраполяцией зависимости 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>/</w:t>
      </w:r>
      <w:proofErr w:type="spellStart"/>
      <w:proofErr w:type="gram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 к нулевому значению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(рисунок 2, кривая 3). </w:t>
      </w:r>
      <w:proofErr w:type="gramStart"/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 xml:space="preserve">ʹ меньше чем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После логарифмирования получаем: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2200" w:dyaOrig="360">
          <v:shape id="_x0000_i1037" type="#_x0000_t75" style="width:109.8pt;height:18pt" o:ole="">
            <v:imagedata r:id="rId31" o:title=""/>
          </v:shape>
          <o:OLEObject Type="Embed" ProgID="Equation.3" ShapeID="_x0000_i1037" DrawAspect="Content" ObjectID="_1759780159" r:id="rId32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Или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2160" w:dyaOrig="639">
          <v:shape id="_x0000_i1038" type="#_x0000_t75" style="width:108pt;height:31.8pt" o:ole="">
            <v:imagedata r:id="rId33" o:title=""/>
          </v:shape>
          <o:OLEObject Type="Embed" ProgID="Equation.3" ShapeID="_x0000_i1038" DrawAspect="Content" ObjectID="_1759780160" r:id="rId34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По экспериментальным данным строят график зависимости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lgC</w:t>
      </w:r>
      <w:proofErr w:type="spellEnd"/>
      <w:proofErr w:type="gramStart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r w:rsidRPr="00A863DF">
        <w:rPr>
          <w:rFonts w:ascii="Times New Roman" w:hAnsi="Times New Roman" w:cs="Times New Roman"/>
          <w:sz w:val="28"/>
          <w:szCs w:val="28"/>
          <w:lang w:val="en-US"/>
        </w:rPr>
        <w:t>lgC</w:t>
      </w:r>
      <w:proofErr w:type="spell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A863DF">
        <w:rPr>
          <w:rFonts w:ascii="Times New Roman" w:hAnsi="Times New Roman" w:cs="Times New Roman"/>
          <w:sz w:val="28"/>
          <w:szCs w:val="28"/>
        </w:rPr>
        <w:t xml:space="preserve">, с помощью которого вычисляют константы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 xml:space="preserve">ʹ 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863DF">
        <w:rPr>
          <w:rFonts w:ascii="Times New Roman" w:hAnsi="Times New Roman" w:cs="Times New Roman"/>
          <w:sz w:val="28"/>
          <w:szCs w:val="28"/>
        </w:rPr>
        <w:t xml:space="preserve"> (рисунок 3).</w:t>
      </w:r>
    </w:p>
    <w:tbl>
      <w:tblPr>
        <w:tblW w:w="0" w:type="auto"/>
        <w:jc w:val="center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2"/>
        <w:gridCol w:w="3479"/>
        <w:gridCol w:w="3156"/>
      </w:tblGrid>
      <w:tr w:rsidR="00A863DF" w:rsidRPr="00A863DF" w:rsidTr="00A863DF">
        <w:trPr>
          <w:jc w:val="center"/>
        </w:trPr>
        <w:tc>
          <w:tcPr>
            <w:tcW w:w="3022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 wp14:anchorId="5C156673" wp14:editId="3C083227">
                  <wp:extent cx="1531620" cy="15621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62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9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 wp14:anchorId="2178DCFC" wp14:editId="34C268B8">
                  <wp:extent cx="1546860" cy="154686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6860" cy="1546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 wp14:anchorId="21382506" wp14:editId="01F12A47">
                  <wp:extent cx="1859280" cy="1661160"/>
                  <wp:effectExtent l="0" t="0" r="762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280" cy="166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3DF" w:rsidRPr="00A863DF" w:rsidTr="00A863DF">
        <w:trPr>
          <w:jc w:val="center"/>
        </w:trPr>
        <w:tc>
          <w:tcPr>
            <w:tcW w:w="3022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Рисунок 1 – Изотермы экстракции</w:t>
            </w:r>
          </w:p>
        </w:tc>
        <w:tc>
          <w:tcPr>
            <w:tcW w:w="3479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Рисунок 2 – зависимость С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о</w:t>
            </w: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  <w:proofErr w:type="spellEnd"/>
            <w:proofErr w:type="gram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  <w:proofErr w:type="spellEnd"/>
          </w:p>
        </w:tc>
        <w:tc>
          <w:tcPr>
            <w:tcW w:w="3141" w:type="dxa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Рисунок 3 – Зависимость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lgC</w:t>
            </w:r>
            <w:proofErr w:type="spellEnd"/>
            <w:proofErr w:type="gramStart"/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о</w:t>
            </w:r>
            <w:proofErr w:type="gramEnd"/>
            <w:r w:rsidRPr="00A863DF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proofErr w:type="spellStart"/>
            <w:r w:rsidRPr="00A863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lgC</w:t>
            </w:r>
            <w:proofErr w:type="spellEnd"/>
            <w:r w:rsidRPr="00A863D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</w:tr>
    </w:tbl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  <w:lang w:val="x-none"/>
        </w:rPr>
      </w:pP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lang w:val="x-none"/>
        </w:rPr>
      </w:pPr>
      <w:r w:rsidRPr="00A863DF">
        <w:rPr>
          <w:rFonts w:ascii="Times New Roman" w:hAnsi="Times New Roman" w:cs="Times New Roman"/>
          <w:bCs/>
          <w:i/>
          <w:iCs/>
          <w:sz w:val="28"/>
          <w:szCs w:val="28"/>
          <w:lang w:val="x-none"/>
        </w:rPr>
        <w:t xml:space="preserve">Коэффициент распределения – </w:t>
      </w:r>
      <w:r w:rsidRPr="00A863DF">
        <w:rPr>
          <w:rFonts w:ascii="Times New Roman" w:hAnsi="Times New Roman" w:cs="Times New Roman"/>
          <w:bCs/>
          <w:iCs/>
          <w:sz w:val="28"/>
          <w:szCs w:val="28"/>
          <w:lang w:val="x-none"/>
        </w:rPr>
        <w:t>отношение суммарных концентраций всех веществ в двух фазах: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820" w:dyaOrig="700">
          <v:shape id="_x0000_i1039" type="#_x0000_t75" style="width:40.8pt;height:34.8pt" o:ole="">
            <v:imagedata r:id="rId38" o:title=""/>
          </v:shape>
          <o:OLEObject Type="Embed" ProgID="Equation.3" ShapeID="_x0000_i1039" DrawAspect="Content" ObjectID="_1759780161" r:id="rId39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Значение коэффициента распределения зависит от условий экстракции и концентрации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экстрагента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>. Константа распределения постоянна при постоянной ионной силе.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Количество вещества в каждой из фаз будет равно: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180" w:dyaOrig="360">
          <v:shape id="_x0000_i1040" type="#_x0000_t75" style="width:58.8pt;height:18pt" o:ole="">
            <v:imagedata r:id="rId40" o:title=""/>
          </v:shape>
          <o:OLEObject Type="Embed" ProgID="Equation.3" ShapeID="_x0000_i1040" DrawAspect="Content" ObjectID="_1759780162" r:id="rId41"/>
        </w:object>
      </w:r>
      <w:r w:rsidRPr="00A863DF">
        <w:rPr>
          <w:rFonts w:ascii="Times New Roman" w:hAnsi="Times New Roman" w:cs="Times New Roman"/>
          <w:sz w:val="28"/>
          <w:szCs w:val="28"/>
        </w:rPr>
        <w:t xml:space="preserve"> и </w:t>
      </w:r>
      <w:r w:rsidRPr="00A863DF">
        <w:rPr>
          <w:rFonts w:ascii="Times New Roman" w:hAnsi="Times New Roman" w:cs="Times New Roman"/>
          <w:sz w:val="28"/>
          <w:szCs w:val="28"/>
        </w:rPr>
        <w:object w:dxaOrig="1200" w:dyaOrig="360">
          <v:shape id="_x0000_i1041" type="#_x0000_t75" style="width:60pt;height:18pt" o:ole="">
            <v:imagedata r:id="rId42" o:title=""/>
          </v:shape>
          <o:OLEObject Type="Embed" ProgID="Equation.3" ShapeID="_x0000_i1041" DrawAspect="Content" ObjectID="_1759780163" r:id="rId43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С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 xml:space="preserve"> – концентрация в фазах;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 xml:space="preserve">о </w:t>
      </w:r>
      <w:r w:rsidRPr="00A863DF">
        <w:rPr>
          <w:rFonts w:ascii="Times New Roman" w:hAnsi="Times New Roman" w:cs="Times New Roman"/>
          <w:sz w:val="28"/>
          <w:szCs w:val="28"/>
        </w:rPr>
        <w:t>– объемы фаз.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Концентрация вещества в органической фазе находят расчетным способом с учетом начальной концентрации вещества и остаточной концентрации вещества в водной фазе после экстракции: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880" w:dyaOrig="360">
          <v:shape id="_x0000_i1042" type="#_x0000_t75" style="width:94.2pt;height:18pt" o:ole="">
            <v:imagedata r:id="rId44" o:title=""/>
          </v:shape>
          <o:OLEObject Type="Embed" ProgID="Equation.3" ShapeID="_x0000_i1042" DrawAspect="Content" ObjectID="_1759780164" r:id="rId45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Откуда: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680" w:dyaOrig="700">
          <v:shape id="_x0000_i1043" type="#_x0000_t75" style="width:84pt;height:34.8pt" o:ole="">
            <v:imagedata r:id="rId46" o:title=""/>
          </v:shape>
          <o:OLEObject Type="Embed" ProgID="Equation.3" ShapeID="_x0000_i1043" DrawAspect="Content" ObjectID="_1759780165" r:id="rId47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lastRenderedPageBreak/>
        <w:t>Где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– начальная концентрация вещества в водной фазе.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Коэффициент распределения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 xml:space="preserve"> связан со степенью извлечения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следующим соотношением: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3200" w:dyaOrig="1020">
          <v:shape id="_x0000_i1044" type="#_x0000_t75" style="width:160.2pt;height:51pt" o:ole="">
            <v:imagedata r:id="rId48" o:title=""/>
          </v:shape>
          <o:OLEObject Type="Embed" ProgID="Equation.3" ShapeID="_x0000_i1044" DrawAspect="Content" ObjectID="_1759780166" r:id="rId49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gramStart"/>
      <w:r w:rsidRPr="00A863DF">
        <w:rPr>
          <w:rFonts w:ascii="Times New Roman" w:hAnsi="Times New Roman" w:cs="Times New Roman"/>
          <w:sz w:val="28"/>
          <w:szCs w:val="28"/>
          <w:lang w:val="en-US"/>
        </w:rPr>
        <w:t>V</w:t>
      </w:r>
      <w:proofErr w:type="gramEnd"/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sz w:val="28"/>
          <w:szCs w:val="28"/>
        </w:rPr>
        <w:t>=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863D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A863DF">
        <w:rPr>
          <w:rFonts w:ascii="Times New Roman" w:hAnsi="Times New Roman" w:cs="Times New Roman"/>
          <w:sz w:val="28"/>
          <w:szCs w:val="28"/>
        </w:rPr>
        <w:t xml:space="preserve"> фазы, то: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520" w:dyaOrig="620">
          <v:shape id="_x0000_i1045" type="#_x0000_t75" style="width:76.2pt;height:31.2pt" o:ole="">
            <v:imagedata r:id="rId50" o:title=""/>
          </v:shape>
          <o:OLEObject Type="Embed" ProgID="Equation.3" ShapeID="_x0000_i1045" DrawAspect="Content" ObjectID="_1759780167" r:id="rId51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Тогда коэффициент распределения будет рассчитываться по формуле: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320" w:dyaOrig="620">
          <v:shape id="_x0000_i1046" type="#_x0000_t75" style="width:66pt;height:31.2pt" o:ole="">
            <v:imagedata r:id="rId52" o:title=""/>
          </v:shape>
          <o:OLEObject Type="Embed" ProgID="Equation.3" ShapeID="_x0000_i1046" DrawAspect="Content" ObjectID="_1759780168" r:id="rId53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Коэффициент распределения </w:t>
      </w:r>
      <w:r w:rsidRPr="00A863D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863DF">
        <w:rPr>
          <w:rFonts w:ascii="Times New Roman" w:hAnsi="Times New Roman" w:cs="Times New Roman"/>
          <w:sz w:val="28"/>
          <w:szCs w:val="28"/>
        </w:rPr>
        <w:t xml:space="preserve"> зависит от условий распределения и не зависит от объемов фаз.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>Степень извлечения</w:t>
      </w:r>
      <w:proofErr w:type="gramStart"/>
      <w:r w:rsidRPr="00A863DF">
        <w:rPr>
          <w:rFonts w:ascii="Times New Roman" w:hAnsi="Times New Roman" w:cs="Times New Roman"/>
          <w:i/>
          <w:sz w:val="28"/>
          <w:szCs w:val="28"/>
        </w:rPr>
        <w:t xml:space="preserve"> Е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показывает долю </w:t>
      </w:r>
      <w:proofErr w:type="spellStart"/>
      <w:r w:rsidRPr="00A863DF">
        <w:rPr>
          <w:rFonts w:ascii="Times New Roman" w:hAnsi="Times New Roman" w:cs="Times New Roman"/>
          <w:sz w:val="28"/>
          <w:szCs w:val="28"/>
        </w:rPr>
        <w:t>проэкстрагированного</w:t>
      </w:r>
      <w:proofErr w:type="spellEnd"/>
      <w:r w:rsidRPr="00A863DF">
        <w:rPr>
          <w:rFonts w:ascii="Times New Roman" w:hAnsi="Times New Roman" w:cs="Times New Roman"/>
          <w:sz w:val="28"/>
          <w:szCs w:val="28"/>
        </w:rPr>
        <w:t xml:space="preserve"> вещества от общего его количества. 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 Степень извлечения зависит от соотношения объемов фаз.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i/>
          <w:sz w:val="28"/>
          <w:szCs w:val="28"/>
        </w:rPr>
        <w:t xml:space="preserve">Коэффициент разделения α – </w:t>
      </w:r>
      <w:r w:rsidRPr="00A863DF">
        <w:rPr>
          <w:rFonts w:ascii="Times New Roman" w:hAnsi="Times New Roman" w:cs="Times New Roman"/>
          <w:sz w:val="28"/>
          <w:szCs w:val="28"/>
        </w:rPr>
        <w:t>это отношение коэффициентов распределения двух разделяемых веществ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A863DF">
        <w:rPr>
          <w:rFonts w:ascii="Times New Roman" w:hAnsi="Times New Roman" w:cs="Times New Roman"/>
          <w:sz w:val="28"/>
          <w:szCs w:val="28"/>
        </w:rPr>
        <w:t xml:space="preserve"> и В: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100" w:dyaOrig="700">
          <v:shape id="_x0000_i1047" type="#_x0000_t75" style="width:55.2pt;height:34.8pt" o:ole="">
            <v:imagedata r:id="rId54" o:title=""/>
          </v:shape>
          <o:OLEObject Type="Embed" ProgID="Equation.3" ShapeID="_x0000_i1047" DrawAspect="Content" ObjectID="_1759780169" r:id="rId55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600" w:dyaOrig="700">
          <v:shape id="_x0000_i1048" type="#_x0000_t75" style="width:79.8pt;height:34.8pt" o:ole="">
            <v:imagedata r:id="rId56" o:title=""/>
          </v:shape>
          <o:OLEObject Type="Embed" ProgID="Equation.3" ShapeID="_x0000_i1048" DrawAspect="Content" ObjectID="_1759780170" r:id="rId57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lang w:val="x-none"/>
        </w:rPr>
      </w:pPr>
      <w:r w:rsidRPr="00A863DF">
        <w:rPr>
          <w:rFonts w:ascii="Times New Roman" w:hAnsi="Times New Roman" w:cs="Times New Roman"/>
          <w:bCs/>
          <w:iCs/>
          <w:sz w:val="28"/>
          <w:szCs w:val="28"/>
          <w:lang w:val="x-none"/>
        </w:rPr>
        <w:t xml:space="preserve">Где </w:t>
      </w:r>
      <w:r w:rsidRPr="00A863DF">
        <w:rPr>
          <w:rFonts w:ascii="Times New Roman" w:hAnsi="Times New Roman" w:cs="Times New Roman"/>
          <w:bCs/>
          <w:iCs/>
          <w:sz w:val="28"/>
          <w:szCs w:val="28"/>
          <w:lang w:val="en-US"/>
        </w:rPr>
        <w:t>m</w:t>
      </w:r>
      <w:proofErr w:type="spellStart"/>
      <w:r w:rsidRPr="00A863DF">
        <w:rPr>
          <w:rFonts w:ascii="Times New Roman" w:hAnsi="Times New Roman" w:cs="Times New Roman"/>
          <w:bCs/>
          <w:iCs/>
          <w:sz w:val="28"/>
          <w:szCs w:val="28"/>
          <w:vertAlign w:val="subscript"/>
          <w:lang w:val="x-none"/>
        </w:rPr>
        <w:t>орг</w:t>
      </w:r>
      <w:proofErr w:type="spellEnd"/>
      <w:r w:rsidRPr="00A863DF">
        <w:rPr>
          <w:rFonts w:ascii="Times New Roman" w:hAnsi="Times New Roman" w:cs="Times New Roman"/>
          <w:bCs/>
          <w:iCs/>
          <w:sz w:val="28"/>
          <w:szCs w:val="28"/>
          <w:lang w:val="x-none"/>
        </w:rPr>
        <w:t xml:space="preserve"> – масса исследуемого вещества, экстрагируемого в органическую фазу;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lang w:val="x-none"/>
        </w:rPr>
      </w:pPr>
      <w:proofErr w:type="gramStart"/>
      <w:r w:rsidRPr="00A863DF">
        <w:rPr>
          <w:rFonts w:ascii="Times New Roman" w:hAnsi="Times New Roman" w:cs="Times New Roman"/>
          <w:bCs/>
          <w:iCs/>
          <w:sz w:val="28"/>
          <w:szCs w:val="28"/>
          <w:lang w:val="en-US"/>
        </w:rPr>
        <w:t>M</w:t>
      </w:r>
      <w:proofErr w:type="spellStart"/>
      <w:r w:rsidRPr="00A863DF">
        <w:rPr>
          <w:rFonts w:ascii="Times New Roman" w:hAnsi="Times New Roman" w:cs="Times New Roman"/>
          <w:bCs/>
          <w:iCs/>
          <w:sz w:val="28"/>
          <w:szCs w:val="28"/>
          <w:vertAlign w:val="subscript"/>
          <w:lang w:val="x-none"/>
        </w:rPr>
        <w:t>исх</w:t>
      </w:r>
      <w:proofErr w:type="spellEnd"/>
      <w:r w:rsidRPr="00A863DF">
        <w:rPr>
          <w:rFonts w:ascii="Times New Roman" w:hAnsi="Times New Roman" w:cs="Times New Roman"/>
          <w:bCs/>
          <w:iCs/>
          <w:sz w:val="28"/>
          <w:szCs w:val="28"/>
          <w:lang w:val="x-none"/>
        </w:rPr>
        <w:t xml:space="preserve"> – масса исследуемого вещества в первоначальном растворе.</w:t>
      </w:r>
      <w:proofErr w:type="gramEnd"/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  <w:lang w:val="x-none"/>
        </w:rPr>
      </w:pPr>
      <w:r w:rsidRPr="00A863DF">
        <w:rPr>
          <w:rFonts w:ascii="Times New Roman" w:hAnsi="Times New Roman" w:cs="Times New Roman"/>
          <w:bCs/>
          <w:iCs/>
          <w:sz w:val="28"/>
          <w:szCs w:val="28"/>
          <w:lang w:val="x-none"/>
        </w:rPr>
        <w:t>Рассмотрим экстракцию как обычную гетерогенную реакцию: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3180" w:dyaOrig="400">
          <v:shape id="_x0000_i1049" type="#_x0000_t75" style="width:159pt;height:19.8pt" o:ole="">
            <v:imagedata r:id="rId58" o:title=""/>
          </v:shape>
          <o:OLEObject Type="Embed" ProgID="Equation.3" ShapeID="_x0000_i1049" DrawAspect="Content" ObjectID="_1759780171" r:id="rId59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 xml:space="preserve">Константа этого равновесия называется константой экстракции </w:t>
      </w:r>
      <w:proofErr w:type="gramStart"/>
      <w:r w:rsidRPr="00A863D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863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ex</w:t>
      </w:r>
      <w:r w:rsidRPr="00A863DF">
        <w:rPr>
          <w:rFonts w:ascii="Times New Roman" w:hAnsi="Times New Roman" w:cs="Times New Roman"/>
          <w:sz w:val="28"/>
          <w:szCs w:val="28"/>
        </w:rPr>
        <w:t xml:space="preserve"> и имеет вид: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2120" w:dyaOrig="720">
          <v:shape id="_x0000_i1050" type="#_x0000_t75" style="width:106.2pt;height:36pt" o:ole="">
            <v:imagedata r:id="rId60" o:title=""/>
          </v:shape>
          <o:OLEObject Type="Embed" ProgID="Equation.3" ShapeID="_x0000_i1050" DrawAspect="Content" ObjectID="_1759780172" r:id="rId61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1180" w:dyaOrig="380">
          <v:shape id="_x0000_i1051" type="#_x0000_t75" style="width:58.8pt;height:19.2pt" o:ole="">
            <v:imagedata r:id="rId62" o:title=""/>
          </v:shape>
          <o:OLEObject Type="Embed" ProgID="Equation.3" ShapeID="_x0000_i1051" DrawAspect="Content" ObjectID="_1759780173" r:id="rId63"/>
        </w:object>
      </w:r>
      <w:r w:rsidRPr="00A863DF">
        <w:rPr>
          <w:rFonts w:ascii="Times New Roman" w:hAnsi="Times New Roman" w:cs="Times New Roman"/>
          <w:sz w:val="28"/>
          <w:szCs w:val="28"/>
        </w:rPr>
        <w:t xml:space="preserve">;   </w:t>
      </w:r>
      <w:r w:rsidRPr="00A863DF">
        <w:rPr>
          <w:rFonts w:ascii="Times New Roman" w:hAnsi="Times New Roman" w:cs="Times New Roman"/>
          <w:sz w:val="28"/>
          <w:szCs w:val="28"/>
        </w:rPr>
        <w:object w:dxaOrig="1260" w:dyaOrig="680">
          <v:shape id="_x0000_i1052" type="#_x0000_t75" style="width:63pt;height:34.2pt" o:ole="">
            <v:imagedata r:id="rId64" o:title=""/>
          </v:shape>
          <o:OLEObject Type="Embed" ProgID="Equation.3" ShapeID="_x0000_i1052" DrawAspect="Content" ObjectID="_1759780174" r:id="rId65"/>
        </w:object>
      </w:r>
      <w:r w:rsidRPr="00A863DF">
        <w:rPr>
          <w:rFonts w:ascii="Times New Roman" w:hAnsi="Times New Roman" w:cs="Times New Roman"/>
          <w:sz w:val="28"/>
          <w:szCs w:val="28"/>
        </w:rPr>
        <w:t xml:space="preserve">;   </w:t>
      </w:r>
      <w:r w:rsidRPr="00A863DF">
        <w:rPr>
          <w:rFonts w:ascii="Times New Roman" w:hAnsi="Times New Roman" w:cs="Times New Roman"/>
          <w:sz w:val="28"/>
          <w:szCs w:val="28"/>
        </w:rPr>
        <w:object w:dxaOrig="1719" w:dyaOrig="720">
          <v:shape id="_x0000_i1053" type="#_x0000_t75" style="width:85.8pt;height:36pt" o:ole="">
            <v:imagedata r:id="rId66" o:title=""/>
          </v:shape>
          <o:OLEObject Type="Embed" ProgID="Equation.3" ShapeID="_x0000_i1053" DrawAspect="Content" ObjectID="_1759780175" r:id="rId67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t>После</w:t>
      </w:r>
      <w:r w:rsidRPr="00A863D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A863DF">
        <w:rPr>
          <w:rFonts w:ascii="Times New Roman" w:hAnsi="Times New Roman" w:cs="Times New Roman"/>
          <w:bCs/>
          <w:iCs/>
          <w:sz w:val="28"/>
          <w:szCs w:val="28"/>
        </w:rPr>
        <w:t xml:space="preserve">логарифмирования получаем уравнение </w:t>
      </w:r>
      <w:proofErr w:type="gramStart"/>
      <w:r w:rsidRPr="00A863DF">
        <w:rPr>
          <w:rFonts w:ascii="Times New Roman" w:hAnsi="Times New Roman" w:cs="Times New Roman"/>
          <w:bCs/>
          <w:iCs/>
          <w:sz w:val="28"/>
          <w:szCs w:val="28"/>
        </w:rPr>
        <w:t>прямой</w:t>
      </w:r>
      <w:proofErr w:type="gramEnd"/>
      <w:r w:rsidRPr="00A863DF">
        <w:rPr>
          <w:rFonts w:ascii="Times New Roman" w:hAnsi="Times New Roman" w:cs="Times New Roman"/>
          <w:bCs/>
          <w:iCs/>
          <w:sz w:val="28"/>
          <w:szCs w:val="28"/>
        </w:rPr>
        <w:t>:</w: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863DF">
        <w:rPr>
          <w:rFonts w:ascii="Times New Roman" w:hAnsi="Times New Roman" w:cs="Times New Roman"/>
          <w:sz w:val="28"/>
          <w:szCs w:val="28"/>
        </w:rPr>
        <w:object w:dxaOrig="3200" w:dyaOrig="360">
          <v:shape id="_x0000_i1054" type="#_x0000_t75" style="width:160.2pt;height:18pt" o:ole="">
            <v:imagedata r:id="rId68" o:title=""/>
          </v:shape>
          <o:OLEObject Type="Embed" ProgID="Equation.3" ShapeID="_x0000_i1054" DrawAspect="Content" ObjectID="_1759780176" r:id="rId69"/>
        </w:object>
      </w:r>
    </w:p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863DF">
        <w:rPr>
          <w:rFonts w:ascii="Times New Roman" w:hAnsi="Times New Roman" w:cs="Times New Roman"/>
          <w:bCs/>
          <w:iCs/>
          <w:sz w:val="28"/>
          <w:szCs w:val="28"/>
        </w:rPr>
        <w:t xml:space="preserve">При </w:t>
      </w:r>
      <w:proofErr w:type="gramStart"/>
      <w:r w:rsidRPr="00A863DF">
        <w:rPr>
          <w:rFonts w:ascii="Times New Roman" w:hAnsi="Times New Roman" w:cs="Times New Roman"/>
          <w:bCs/>
          <w:iCs/>
          <w:sz w:val="28"/>
          <w:szCs w:val="28"/>
        </w:rPr>
        <w:t>постоянном</w:t>
      </w:r>
      <w:proofErr w:type="gramEnd"/>
      <w:r w:rsidRPr="00A863DF">
        <w:rPr>
          <w:rFonts w:ascii="Times New Roman" w:hAnsi="Times New Roman" w:cs="Times New Roman"/>
          <w:bCs/>
          <w:iCs/>
          <w:sz w:val="28"/>
          <w:szCs w:val="28"/>
        </w:rPr>
        <w:t xml:space="preserve"> рН зависимость </w:t>
      </w:r>
      <w:proofErr w:type="spellStart"/>
      <w:r w:rsidRPr="00A863DF">
        <w:rPr>
          <w:rFonts w:ascii="Times New Roman" w:hAnsi="Times New Roman" w:cs="Times New Roman"/>
          <w:bCs/>
          <w:iCs/>
          <w:sz w:val="28"/>
          <w:szCs w:val="28"/>
          <w:lang w:val="en-US"/>
        </w:rPr>
        <w:t>lgD</w:t>
      </w:r>
      <w:proofErr w:type="spellEnd"/>
      <w:r w:rsidRPr="00A863DF">
        <w:rPr>
          <w:rFonts w:ascii="Times New Roman" w:hAnsi="Times New Roman" w:cs="Times New Roman"/>
          <w:bCs/>
          <w:iCs/>
          <w:sz w:val="28"/>
          <w:szCs w:val="28"/>
        </w:rPr>
        <w:t xml:space="preserve"> от </w:t>
      </w:r>
      <w:proofErr w:type="spellStart"/>
      <w:r w:rsidRPr="00A863DF">
        <w:rPr>
          <w:rFonts w:ascii="Times New Roman" w:hAnsi="Times New Roman" w:cs="Times New Roman"/>
          <w:bCs/>
          <w:iCs/>
          <w:sz w:val="28"/>
          <w:szCs w:val="28"/>
          <w:lang w:val="en-US"/>
        </w:rPr>
        <w:t>lg</w:t>
      </w:r>
      <w:proofErr w:type="spellEnd"/>
      <w:r w:rsidRPr="00A863DF">
        <w:rPr>
          <w:rFonts w:ascii="Times New Roman" w:hAnsi="Times New Roman" w:cs="Times New Roman"/>
          <w:bCs/>
          <w:iCs/>
          <w:sz w:val="28"/>
          <w:szCs w:val="28"/>
        </w:rPr>
        <w:t>[</w:t>
      </w:r>
      <w:r w:rsidRPr="00A863DF">
        <w:rPr>
          <w:rFonts w:ascii="Times New Roman" w:hAnsi="Times New Roman" w:cs="Times New Roman"/>
          <w:bCs/>
          <w:iCs/>
          <w:sz w:val="28"/>
          <w:szCs w:val="28"/>
          <w:lang w:val="en-US"/>
        </w:rPr>
        <w:t>HL</w:t>
      </w:r>
      <w:r w:rsidRPr="00A863DF">
        <w:rPr>
          <w:rFonts w:ascii="Times New Roman" w:hAnsi="Times New Roman" w:cs="Times New Roman"/>
          <w:bCs/>
          <w:iCs/>
          <w:sz w:val="28"/>
          <w:szCs w:val="28"/>
        </w:rPr>
        <w:t>]</w:t>
      </w:r>
      <w:r w:rsidRPr="00A863DF">
        <w:rPr>
          <w:rFonts w:ascii="Times New Roman" w:hAnsi="Times New Roman" w:cs="Times New Roman"/>
          <w:bCs/>
          <w:iCs/>
          <w:sz w:val="28"/>
          <w:szCs w:val="28"/>
          <w:vertAlign w:val="subscript"/>
        </w:rPr>
        <w:t>о</w:t>
      </w:r>
      <w:r w:rsidRPr="00A863DF">
        <w:rPr>
          <w:rFonts w:ascii="Times New Roman" w:hAnsi="Times New Roman" w:cs="Times New Roman"/>
          <w:bCs/>
          <w:iCs/>
          <w:sz w:val="28"/>
          <w:szCs w:val="28"/>
        </w:rPr>
        <w:t xml:space="preserve"> выражается прямой линией с углом наклона, равным </w:t>
      </w:r>
      <w:r w:rsidRPr="00A863DF">
        <w:rPr>
          <w:rFonts w:ascii="Times New Roman" w:hAnsi="Times New Roman" w:cs="Times New Roman"/>
          <w:bCs/>
          <w:iCs/>
          <w:sz w:val="28"/>
          <w:szCs w:val="28"/>
          <w:lang w:val="en-US"/>
        </w:rPr>
        <w:t>m</w:t>
      </w:r>
      <w:r w:rsidRPr="00A863DF">
        <w:rPr>
          <w:rFonts w:ascii="Times New Roman" w:hAnsi="Times New Roman" w:cs="Times New Roman"/>
          <w:bCs/>
          <w:iCs/>
          <w:sz w:val="28"/>
          <w:szCs w:val="28"/>
        </w:rPr>
        <w:t xml:space="preserve"> (рис. 4, а); при постоянной концентрации реагента </w:t>
      </w:r>
      <w:r w:rsidRPr="00A863DF">
        <w:rPr>
          <w:rFonts w:ascii="Times New Roman" w:hAnsi="Times New Roman" w:cs="Times New Roman"/>
          <w:bCs/>
          <w:iCs/>
          <w:sz w:val="28"/>
          <w:szCs w:val="28"/>
          <w:lang w:val="en-US"/>
        </w:rPr>
        <w:t>HL</w:t>
      </w:r>
      <w:r w:rsidRPr="00A863DF">
        <w:rPr>
          <w:rFonts w:ascii="Times New Roman" w:hAnsi="Times New Roman" w:cs="Times New Roman"/>
          <w:bCs/>
          <w:iCs/>
          <w:sz w:val="28"/>
          <w:szCs w:val="28"/>
        </w:rPr>
        <w:t xml:space="preserve"> получим аналогичную зависимость от рН (рис. 4, б).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769"/>
        <w:gridCol w:w="4945"/>
      </w:tblGrid>
      <w:tr w:rsidR="00A863DF" w:rsidRPr="00A863DF" w:rsidTr="00A863DF">
        <w:trPr>
          <w:jc w:val="center"/>
        </w:trPr>
        <w:tc>
          <w:tcPr>
            <w:tcW w:w="5494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drawing>
                <wp:inline distT="0" distB="0" distL="0" distR="0" wp14:anchorId="1BEFAA21" wp14:editId="545E80A4">
                  <wp:extent cx="1524000" cy="14097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903" r="16078" b="391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5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 wp14:anchorId="4879FD74" wp14:editId="0AFD17DF">
                  <wp:extent cx="1965960" cy="156972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59" r="53798" b="357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5960" cy="156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3DF" w:rsidRPr="00A863DF" w:rsidTr="00A863DF">
        <w:trPr>
          <w:jc w:val="center"/>
        </w:trPr>
        <w:tc>
          <w:tcPr>
            <w:tcW w:w="5494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</w:t>
            </w:r>
          </w:p>
        </w:tc>
        <w:tc>
          <w:tcPr>
            <w:tcW w:w="5495" w:type="dxa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863D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</w:t>
            </w:r>
          </w:p>
        </w:tc>
      </w:tr>
      <w:tr w:rsidR="00A863DF" w:rsidRPr="00A863DF" w:rsidTr="00A863DF">
        <w:trPr>
          <w:jc w:val="center"/>
        </w:trPr>
        <w:tc>
          <w:tcPr>
            <w:tcW w:w="10989" w:type="dxa"/>
            <w:gridSpan w:val="2"/>
            <w:shd w:val="clear" w:color="auto" w:fill="auto"/>
          </w:tcPr>
          <w:p w:rsidR="00A863DF" w:rsidRPr="00A863DF" w:rsidRDefault="00A863DF" w:rsidP="00A863D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A863D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Рисунок 4 – Зависимость коэффициента распределения иона металла, экстрагирующегося в виде комплексного соединения, от концентрации хелатообразующего реагента (а), от равновесного рН водной фазы (б)</w:t>
            </w:r>
            <w:proofErr w:type="gramEnd"/>
          </w:p>
        </w:tc>
      </w:tr>
    </w:tbl>
    <w:p w:rsidR="00A863DF" w:rsidRPr="00A863DF" w:rsidRDefault="00A863DF" w:rsidP="00A863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A7708B" w:rsidRDefault="00A7708B"/>
    <w:sectPr w:rsidR="00A7708B" w:rsidSect="00A863DF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5A8D"/>
    <w:multiLevelType w:val="hybridMultilevel"/>
    <w:tmpl w:val="4B240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31E61"/>
    <w:multiLevelType w:val="multilevel"/>
    <w:tmpl w:val="47865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85690D"/>
    <w:multiLevelType w:val="hybridMultilevel"/>
    <w:tmpl w:val="891800F6"/>
    <w:lvl w:ilvl="0" w:tplc="B17448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2F646E4"/>
    <w:multiLevelType w:val="hybridMultilevel"/>
    <w:tmpl w:val="B19897D4"/>
    <w:lvl w:ilvl="0" w:tplc="D4E845C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62F7B1C"/>
    <w:multiLevelType w:val="hybridMultilevel"/>
    <w:tmpl w:val="6C58E128"/>
    <w:lvl w:ilvl="0" w:tplc="D4E845C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7015E64"/>
    <w:multiLevelType w:val="hybridMultilevel"/>
    <w:tmpl w:val="E490FAA4"/>
    <w:lvl w:ilvl="0" w:tplc="D4E845C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0CED2522"/>
    <w:multiLevelType w:val="hybridMultilevel"/>
    <w:tmpl w:val="474CBBB0"/>
    <w:lvl w:ilvl="0" w:tplc="B05EAE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0E5590F"/>
    <w:multiLevelType w:val="hybridMultilevel"/>
    <w:tmpl w:val="C5FA94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D33A76"/>
    <w:multiLevelType w:val="hybridMultilevel"/>
    <w:tmpl w:val="52BEA9E0"/>
    <w:lvl w:ilvl="0" w:tplc="774AB31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1A2B1730"/>
    <w:multiLevelType w:val="hybridMultilevel"/>
    <w:tmpl w:val="7806DDD8"/>
    <w:lvl w:ilvl="0" w:tplc="D4E845C4">
      <w:start w:val="1"/>
      <w:numFmt w:val="bullet"/>
      <w:lvlText w:val=""/>
      <w:lvlJc w:val="left"/>
      <w:pPr>
        <w:ind w:left="9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8" w:hanging="360"/>
      </w:pPr>
      <w:rPr>
        <w:rFonts w:ascii="Wingdings" w:hAnsi="Wingdings" w:hint="default"/>
      </w:rPr>
    </w:lvl>
  </w:abstractNum>
  <w:abstractNum w:abstractNumId="10">
    <w:nsid w:val="1A7E0CFF"/>
    <w:multiLevelType w:val="hybridMultilevel"/>
    <w:tmpl w:val="DD7A3650"/>
    <w:lvl w:ilvl="0" w:tplc="F3DE2104">
      <w:start w:val="1"/>
      <w:numFmt w:val="decimal"/>
      <w:lvlText w:val="%1."/>
      <w:lvlJc w:val="left"/>
      <w:pPr>
        <w:ind w:left="13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8" w:hanging="360"/>
      </w:pPr>
    </w:lvl>
    <w:lvl w:ilvl="2" w:tplc="0419001B" w:tentative="1">
      <w:start w:val="1"/>
      <w:numFmt w:val="lowerRoman"/>
      <w:lvlText w:val="%3."/>
      <w:lvlJc w:val="right"/>
      <w:pPr>
        <w:ind w:left="2748" w:hanging="180"/>
      </w:pPr>
    </w:lvl>
    <w:lvl w:ilvl="3" w:tplc="0419000F" w:tentative="1">
      <w:start w:val="1"/>
      <w:numFmt w:val="decimal"/>
      <w:lvlText w:val="%4."/>
      <w:lvlJc w:val="left"/>
      <w:pPr>
        <w:ind w:left="3468" w:hanging="360"/>
      </w:pPr>
    </w:lvl>
    <w:lvl w:ilvl="4" w:tplc="04190019" w:tentative="1">
      <w:start w:val="1"/>
      <w:numFmt w:val="lowerLetter"/>
      <w:lvlText w:val="%5."/>
      <w:lvlJc w:val="left"/>
      <w:pPr>
        <w:ind w:left="4188" w:hanging="360"/>
      </w:pPr>
    </w:lvl>
    <w:lvl w:ilvl="5" w:tplc="0419001B" w:tentative="1">
      <w:start w:val="1"/>
      <w:numFmt w:val="lowerRoman"/>
      <w:lvlText w:val="%6."/>
      <w:lvlJc w:val="right"/>
      <w:pPr>
        <w:ind w:left="4908" w:hanging="180"/>
      </w:pPr>
    </w:lvl>
    <w:lvl w:ilvl="6" w:tplc="0419000F" w:tentative="1">
      <w:start w:val="1"/>
      <w:numFmt w:val="decimal"/>
      <w:lvlText w:val="%7."/>
      <w:lvlJc w:val="left"/>
      <w:pPr>
        <w:ind w:left="5628" w:hanging="360"/>
      </w:pPr>
    </w:lvl>
    <w:lvl w:ilvl="7" w:tplc="04190019" w:tentative="1">
      <w:start w:val="1"/>
      <w:numFmt w:val="lowerLetter"/>
      <w:lvlText w:val="%8."/>
      <w:lvlJc w:val="left"/>
      <w:pPr>
        <w:ind w:left="6348" w:hanging="360"/>
      </w:pPr>
    </w:lvl>
    <w:lvl w:ilvl="8" w:tplc="041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11">
    <w:nsid w:val="21672DFB"/>
    <w:multiLevelType w:val="hybridMultilevel"/>
    <w:tmpl w:val="F28C7CD4"/>
    <w:lvl w:ilvl="0" w:tplc="D96ECDFC">
      <w:start w:val="1"/>
      <w:numFmt w:val="decimal"/>
      <w:lvlText w:val="%1)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2">
    <w:nsid w:val="239F4B3B"/>
    <w:multiLevelType w:val="multilevel"/>
    <w:tmpl w:val="1EC4A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804DAC"/>
    <w:multiLevelType w:val="hybridMultilevel"/>
    <w:tmpl w:val="32660134"/>
    <w:lvl w:ilvl="0" w:tplc="39C2317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1BA5CA7"/>
    <w:multiLevelType w:val="hybridMultilevel"/>
    <w:tmpl w:val="580ADD34"/>
    <w:lvl w:ilvl="0" w:tplc="4862525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2983BAF"/>
    <w:multiLevelType w:val="hybridMultilevel"/>
    <w:tmpl w:val="272E8068"/>
    <w:lvl w:ilvl="0" w:tplc="D4E845C4">
      <w:start w:val="1"/>
      <w:numFmt w:val="bullet"/>
      <w:lvlText w:val=""/>
      <w:lvlJc w:val="left"/>
      <w:pPr>
        <w:ind w:left="2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16">
    <w:nsid w:val="343C29E6"/>
    <w:multiLevelType w:val="hybridMultilevel"/>
    <w:tmpl w:val="71F42A52"/>
    <w:lvl w:ilvl="0" w:tplc="343657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35216658"/>
    <w:multiLevelType w:val="hybridMultilevel"/>
    <w:tmpl w:val="FA80C3B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4D8B101B"/>
    <w:multiLevelType w:val="hybridMultilevel"/>
    <w:tmpl w:val="F8D24C9C"/>
    <w:lvl w:ilvl="0" w:tplc="32100A9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4F506AE1"/>
    <w:multiLevelType w:val="hybridMultilevel"/>
    <w:tmpl w:val="17D48CE0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</w:lvl>
    <w:lvl w:ilvl="3" w:tplc="0419000F" w:tentative="1">
      <w:start w:val="1"/>
      <w:numFmt w:val="decimal"/>
      <w:lvlText w:val="%4."/>
      <w:lvlJc w:val="left"/>
      <w:pPr>
        <w:ind w:left="3108" w:hanging="360"/>
      </w:p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</w:lvl>
    <w:lvl w:ilvl="6" w:tplc="0419000F" w:tentative="1">
      <w:start w:val="1"/>
      <w:numFmt w:val="decimal"/>
      <w:lvlText w:val="%7."/>
      <w:lvlJc w:val="left"/>
      <w:pPr>
        <w:ind w:left="5268" w:hanging="360"/>
      </w:p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20">
    <w:nsid w:val="5E7212A5"/>
    <w:multiLevelType w:val="hybridMultilevel"/>
    <w:tmpl w:val="03F8C2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63F50AF1"/>
    <w:multiLevelType w:val="hybridMultilevel"/>
    <w:tmpl w:val="EE62B8CC"/>
    <w:lvl w:ilvl="0" w:tplc="D4E845C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9011B49"/>
    <w:multiLevelType w:val="hybridMultilevel"/>
    <w:tmpl w:val="946C88BA"/>
    <w:lvl w:ilvl="0" w:tplc="45C06204">
      <w:start w:val="1"/>
      <w:numFmt w:val="decimal"/>
      <w:lvlText w:val="%1)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>
    <w:nsid w:val="6B0B62EE"/>
    <w:multiLevelType w:val="hybridMultilevel"/>
    <w:tmpl w:val="BA5E52F6"/>
    <w:lvl w:ilvl="0" w:tplc="D4E845C4">
      <w:start w:val="1"/>
      <w:numFmt w:val="bullet"/>
      <w:lvlText w:val="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4E0990"/>
    <w:multiLevelType w:val="hybridMultilevel"/>
    <w:tmpl w:val="ED487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906A6E"/>
    <w:multiLevelType w:val="hybridMultilevel"/>
    <w:tmpl w:val="A78C2C06"/>
    <w:lvl w:ilvl="0" w:tplc="759A36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2A90877"/>
    <w:multiLevelType w:val="hybridMultilevel"/>
    <w:tmpl w:val="6BD8C5F2"/>
    <w:lvl w:ilvl="0" w:tplc="4950D7E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4E96AB1"/>
    <w:multiLevelType w:val="multilevel"/>
    <w:tmpl w:val="C3F2C0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8">
    <w:nsid w:val="78FB1053"/>
    <w:multiLevelType w:val="hybridMultilevel"/>
    <w:tmpl w:val="A038EB06"/>
    <w:lvl w:ilvl="0" w:tplc="A9E0AAC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2"/>
  </w:num>
  <w:num w:numId="3">
    <w:abstractNumId w:val="1"/>
  </w:num>
  <w:num w:numId="4">
    <w:abstractNumId w:val="23"/>
  </w:num>
  <w:num w:numId="5">
    <w:abstractNumId w:val="15"/>
  </w:num>
  <w:num w:numId="6">
    <w:abstractNumId w:val="17"/>
  </w:num>
  <w:num w:numId="7">
    <w:abstractNumId w:val="19"/>
  </w:num>
  <w:num w:numId="8">
    <w:abstractNumId w:val="10"/>
  </w:num>
  <w:num w:numId="9">
    <w:abstractNumId w:val="9"/>
  </w:num>
  <w:num w:numId="10">
    <w:abstractNumId w:val="24"/>
  </w:num>
  <w:num w:numId="11">
    <w:abstractNumId w:val="21"/>
  </w:num>
  <w:num w:numId="12">
    <w:abstractNumId w:val="3"/>
  </w:num>
  <w:num w:numId="13">
    <w:abstractNumId w:val="4"/>
  </w:num>
  <w:num w:numId="14">
    <w:abstractNumId w:val="5"/>
  </w:num>
  <w:num w:numId="15">
    <w:abstractNumId w:val="20"/>
  </w:num>
  <w:num w:numId="16">
    <w:abstractNumId w:val="6"/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28"/>
  </w:num>
  <w:num w:numId="20">
    <w:abstractNumId w:val="13"/>
  </w:num>
  <w:num w:numId="21">
    <w:abstractNumId w:val="0"/>
  </w:num>
  <w:num w:numId="22">
    <w:abstractNumId w:val="25"/>
  </w:num>
  <w:num w:numId="23">
    <w:abstractNumId w:val="27"/>
  </w:num>
  <w:num w:numId="24">
    <w:abstractNumId w:val="26"/>
  </w:num>
  <w:num w:numId="25">
    <w:abstractNumId w:val="16"/>
  </w:num>
  <w:num w:numId="26">
    <w:abstractNumId w:val="8"/>
  </w:num>
  <w:num w:numId="27">
    <w:abstractNumId w:val="22"/>
  </w:num>
  <w:num w:numId="28">
    <w:abstractNumId w:val="18"/>
  </w:num>
  <w:num w:numId="29">
    <w:abstractNumId w:val="11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3DF"/>
    <w:rsid w:val="00010F6A"/>
    <w:rsid w:val="00024748"/>
    <w:rsid w:val="000C4BF7"/>
    <w:rsid w:val="000E7E61"/>
    <w:rsid w:val="001202E6"/>
    <w:rsid w:val="00156322"/>
    <w:rsid w:val="001B0748"/>
    <w:rsid w:val="001E785F"/>
    <w:rsid w:val="00200E7F"/>
    <w:rsid w:val="00324C27"/>
    <w:rsid w:val="00353019"/>
    <w:rsid w:val="00375C76"/>
    <w:rsid w:val="003D19F3"/>
    <w:rsid w:val="003E39E1"/>
    <w:rsid w:val="00583958"/>
    <w:rsid w:val="005A64E4"/>
    <w:rsid w:val="005D11C2"/>
    <w:rsid w:val="005F07FF"/>
    <w:rsid w:val="0064473C"/>
    <w:rsid w:val="00666A60"/>
    <w:rsid w:val="00745A87"/>
    <w:rsid w:val="007D0682"/>
    <w:rsid w:val="008255A4"/>
    <w:rsid w:val="00831057"/>
    <w:rsid w:val="00854785"/>
    <w:rsid w:val="00913A83"/>
    <w:rsid w:val="00985D23"/>
    <w:rsid w:val="009D75B0"/>
    <w:rsid w:val="009D77C1"/>
    <w:rsid w:val="009E5531"/>
    <w:rsid w:val="009E5E6F"/>
    <w:rsid w:val="00A04497"/>
    <w:rsid w:val="00A106C6"/>
    <w:rsid w:val="00A7708B"/>
    <w:rsid w:val="00A863DF"/>
    <w:rsid w:val="00AA6BB2"/>
    <w:rsid w:val="00AE2EF7"/>
    <w:rsid w:val="00B55FF7"/>
    <w:rsid w:val="00BD2F12"/>
    <w:rsid w:val="00D5414C"/>
    <w:rsid w:val="00D914CF"/>
    <w:rsid w:val="00DD74EF"/>
    <w:rsid w:val="00DF0399"/>
    <w:rsid w:val="00DF4F07"/>
    <w:rsid w:val="00E22962"/>
    <w:rsid w:val="00E41AE6"/>
    <w:rsid w:val="00E840E7"/>
    <w:rsid w:val="00EC1E0E"/>
    <w:rsid w:val="00F20F6E"/>
    <w:rsid w:val="00F462A7"/>
    <w:rsid w:val="00FB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863DF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A863DF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63DF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63DF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rsid w:val="00A863DF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A863DF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A863DF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4">
    <w:name w:val="Текст выноски Знак"/>
    <w:basedOn w:val="a0"/>
    <w:link w:val="a3"/>
    <w:uiPriority w:val="99"/>
    <w:semiHidden/>
    <w:rsid w:val="00A863DF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5">
    <w:name w:val="Body Text"/>
    <w:basedOn w:val="a"/>
    <w:link w:val="a6"/>
    <w:rsid w:val="00A863D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A863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7">
    <w:name w:val="Body Text Indent"/>
    <w:basedOn w:val="a"/>
    <w:link w:val="a8"/>
    <w:rsid w:val="00A863D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8">
    <w:name w:val="Основной текст с отступом Знак"/>
    <w:basedOn w:val="a0"/>
    <w:link w:val="a7"/>
    <w:rsid w:val="00A863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rsid w:val="00A863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rsid w:val="00A863D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21">
    <w:name w:val="Основной текст 2 Знак"/>
    <w:basedOn w:val="a0"/>
    <w:link w:val="22"/>
    <w:uiPriority w:val="99"/>
    <w:semiHidden/>
    <w:rsid w:val="00A863DF"/>
    <w:rPr>
      <w:rFonts w:ascii="Calibri" w:eastAsia="Times New Roman" w:hAnsi="Calibri" w:cs="Times New Roman"/>
      <w:lang w:val="x-none" w:eastAsia="x-none"/>
    </w:rPr>
  </w:style>
  <w:style w:type="paragraph" w:styleId="22">
    <w:name w:val="Body Text 2"/>
    <w:basedOn w:val="a"/>
    <w:link w:val="21"/>
    <w:uiPriority w:val="99"/>
    <w:semiHidden/>
    <w:unhideWhenUsed/>
    <w:rsid w:val="00A863DF"/>
    <w:pPr>
      <w:spacing w:after="120" w:line="480" w:lineRule="auto"/>
    </w:pPr>
    <w:rPr>
      <w:rFonts w:ascii="Calibri" w:eastAsia="Times New Roman" w:hAnsi="Calibri" w:cs="Times New Roman"/>
      <w:lang w:val="x-none" w:eastAsia="x-none"/>
    </w:rPr>
  </w:style>
  <w:style w:type="paragraph" w:styleId="23">
    <w:name w:val="Body Text Indent 2"/>
    <w:basedOn w:val="a"/>
    <w:link w:val="24"/>
    <w:rsid w:val="00A863D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rsid w:val="00A863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Normal">
    <w:name w:val="Normal"/>
    <w:rsid w:val="00A863DF"/>
    <w:pPr>
      <w:widowControl w:val="0"/>
      <w:spacing w:before="40" w:after="0" w:line="30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33">
    <w:name w:val="Body Text Indent 3"/>
    <w:basedOn w:val="a"/>
    <w:link w:val="34"/>
    <w:rsid w:val="00A863D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rsid w:val="00A863D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Default">
    <w:name w:val="Default"/>
    <w:rsid w:val="00A863DF"/>
    <w:pPr>
      <w:autoSpaceDE w:val="0"/>
      <w:autoSpaceDN w:val="0"/>
      <w:adjustRightInd w:val="0"/>
      <w:spacing w:after="0" w:line="240" w:lineRule="auto"/>
    </w:pPr>
    <w:rPr>
      <w:rFonts w:ascii="NewtonC" w:eastAsia="Times New Roman" w:hAnsi="NewtonC" w:cs="NewtonC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A863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A863DF"/>
    <w:rPr>
      <w:b/>
      <w:bCs/>
    </w:rPr>
  </w:style>
  <w:style w:type="paragraph" w:customStyle="1" w:styleId="center">
    <w:name w:val="center"/>
    <w:basedOn w:val="a"/>
    <w:rsid w:val="00A86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">
    <w:name w:val="Body Text 2"/>
    <w:basedOn w:val="a"/>
    <w:rsid w:val="00A863DF"/>
    <w:pPr>
      <w:widowControl w:val="0"/>
      <w:spacing w:before="40" w:after="0" w:line="260" w:lineRule="auto"/>
      <w:ind w:firstLine="5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Indent2">
    <w:name w:val="Body Text Indent 2"/>
    <w:basedOn w:val="a"/>
    <w:rsid w:val="00A863DF"/>
    <w:pPr>
      <w:widowControl w:val="0"/>
      <w:spacing w:before="80" w:after="0" w:line="260" w:lineRule="auto"/>
      <w:ind w:left="851" w:hanging="351"/>
      <w:jc w:val="both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customStyle="1" w:styleId="BodyText3">
    <w:name w:val="Body Text 3"/>
    <w:basedOn w:val="a"/>
    <w:rsid w:val="00A863DF"/>
    <w:pPr>
      <w:widowControl w:val="0"/>
      <w:spacing w:before="40" w:after="0" w:line="240" w:lineRule="auto"/>
      <w:jc w:val="center"/>
    </w:pPr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paragraph" w:customStyle="1" w:styleId="MTDisplayEquation">
    <w:name w:val="MTDisplayEquation"/>
    <w:basedOn w:val="a"/>
    <w:rsid w:val="00A863DF"/>
    <w:pPr>
      <w:widowControl w:val="0"/>
      <w:tabs>
        <w:tab w:val="center" w:pos="4536"/>
        <w:tab w:val="right" w:pos="9639"/>
      </w:tabs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863DF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A863DF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63DF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63DF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rsid w:val="00A863DF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A863DF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A863DF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4">
    <w:name w:val="Текст выноски Знак"/>
    <w:basedOn w:val="a0"/>
    <w:link w:val="a3"/>
    <w:uiPriority w:val="99"/>
    <w:semiHidden/>
    <w:rsid w:val="00A863DF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5">
    <w:name w:val="Body Text"/>
    <w:basedOn w:val="a"/>
    <w:link w:val="a6"/>
    <w:rsid w:val="00A863D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A863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7">
    <w:name w:val="Body Text Indent"/>
    <w:basedOn w:val="a"/>
    <w:link w:val="a8"/>
    <w:rsid w:val="00A863D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8">
    <w:name w:val="Основной текст с отступом Знак"/>
    <w:basedOn w:val="a0"/>
    <w:link w:val="a7"/>
    <w:rsid w:val="00A863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rsid w:val="00A863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rsid w:val="00A863D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21">
    <w:name w:val="Основной текст 2 Знак"/>
    <w:basedOn w:val="a0"/>
    <w:link w:val="22"/>
    <w:uiPriority w:val="99"/>
    <w:semiHidden/>
    <w:rsid w:val="00A863DF"/>
    <w:rPr>
      <w:rFonts w:ascii="Calibri" w:eastAsia="Times New Roman" w:hAnsi="Calibri" w:cs="Times New Roman"/>
      <w:lang w:val="x-none" w:eastAsia="x-none"/>
    </w:rPr>
  </w:style>
  <w:style w:type="paragraph" w:styleId="22">
    <w:name w:val="Body Text 2"/>
    <w:basedOn w:val="a"/>
    <w:link w:val="21"/>
    <w:uiPriority w:val="99"/>
    <w:semiHidden/>
    <w:unhideWhenUsed/>
    <w:rsid w:val="00A863DF"/>
    <w:pPr>
      <w:spacing w:after="120" w:line="480" w:lineRule="auto"/>
    </w:pPr>
    <w:rPr>
      <w:rFonts w:ascii="Calibri" w:eastAsia="Times New Roman" w:hAnsi="Calibri" w:cs="Times New Roman"/>
      <w:lang w:val="x-none" w:eastAsia="x-none"/>
    </w:rPr>
  </w:style>
  <w:style w:type="paragraph" w:styleId="23">
    <w:name w:val="Body Text Indent 2"/>
    <w:basedOn w:val="a"/>
    <w:link w:val="24"/>
    <w:rsid w:val="00A863D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rsid w:val="00A863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Normal">
    <w:name w:val="Normal"/>
    <w:rsid w:val="00A863DF"/>
    <w:pPr>
      <w:widowControl w:val="0"/>
      <w:spacing w:before="40" w:after="0" w:line="30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33">
    <w:name w:val="Body Text Indent 3"/>
    <w:basedOn w:val="a"/>
    <w:link w:val="34"/>
    <w:rsid w:val="00A863D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rsid w:val="00A863DF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Default">
    <w:name w:val="Default"/>
    <w:rsid w:val="00A863DF"/>
    <w:pPr>
      <w:autoSpaceDE w:val="0"/>
      <w:autoSpaceDN w:val="0"/>
      <w:adjustRightInd w:val="0"/>
      <w:spacing w:after="0" w:line="240" w:lineRule="auto"/>
    </w:pPr>
    <w:rPr>
      <w:rFonts w:ascii="NewtonC" w:eastAsia="Times New Roman" w:hAnsi="NewtonC" w:cs="NewtonC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A863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A863DF"/>
    <w:rPr>
      <w:b/>
      <w:bCs/>
    </w:rPr>
  </w:style>
  <w:style w:type="paragraph" w:customStyle="1" w:styleId="center">
    <w:name w:val="center"/>
    <w:basedOn w:val="a"/>
    <w:rsid w:val="00A86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">
    <w:name w:val="Body Text 2"/>
    <w:basedOn w:val="a"/>
    <w:rsid w:val="00A863DF"/>
    <w:pPr>
      <w:widowControl w:val="0"/>
      <w:spacing w:before="40" w:after="0" w:line="260" w:lineRule="auto"/>
      <w:ind w:firstLine="5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Indent2">
    <w:name w:val="Body Text Indent 2"/>
    <w:basedOn w:val="a"/>
    <w:rsid w:val="00A863DF"/>
    <w:pPr>
      <w:widowControl w:val="0"/>
      <w:spacing w:before="80" w:after="0" w:line="260" w:lineRule="auto"/>
      <w:ind w:left="851" w:hanging="351"/>
      <w:jc w:val="both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customStyle="1" w:styleId="BodyText3">
    <w:name w:val="Body Text 3"/>
    <w:basedOn w:val="a"/>
    <w:rsid w:val="00A863DF"/>
    <w:pPr>
      <w:widowControl w:val="0"/>
      <w:spacing w:before="40" w:after="0" w:line="240" w:lineRule="auto"/>
      <w:jc w:val="center"/>
    </w:pPr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paragraph" w:customStyle="1" w:styleId="MTDisplayEquation">
    <w:name w:val="MTDisplayEquation"/>
    <w:basedOn w:val="a"/>
    <w:rsid w:val="00A863DF"/>
    <w:pPr>
      <w:widowControl w:val="0"/>
      <w:tabs>
        <w:tab w:val="center" w:pos="4536"/>
        <w:tab w:val="right" w:pos="9639"/>
      </w:tabs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5.bin"/><Relationship Id="rId21" Type="http://schemas.openxmlformats.org/officeDocument/2006/relationships/image" Target="media/image9.wmf"/><Relationship Id="rId34" Type="http://schemas.openxmlformats.org/officeDocument/2006/relationships/oleObject" Target="embeddings/oleObject14.bin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3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4.wmf"/><Relationship Id="rId7" Type="http://schemas.openxmlformats.org/officeDocument/2006/relationships/oleObject" Target="embeddings/oleObject1.bin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png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7.png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61" Type="http://schemas.openxmlformats.org/officeDocument/2006/relationships/oleObject" Target="embeddings/oleObject26.bin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png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0.bin"/><Relationship Id="rId8" Type="http://schemas.openxmlformats.org/officeDocument/2006/relationships/image" Target="media/image2.wmf"/><Relationship Id="rId51" Type="http://schemas.openxmlformats.org/officeDocument/2006/relationships/oleObject" Target="embeddings/oleObject21.bin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6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22</Pages>
  <Words>6419</Words>
  <Characters>36593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2023-10-25T15:36:00Z</dcterms:created>
  <dcterms:modified xsi:type="dcterms:W3CDTF">2023-10-25T17:02:00Z</dcterms:modified>
</cp:coreProperties>
</file>